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23F55" w14:textId="77777777" w:rsidR="00EC4D80" w:rsidRPr="00A42528" w:rsidRDefault="00EC4D80" w:rsidP="00D47F1E">
      <w:pPr>
        <w:pStyle w:val="Ttulo1"/>
        <w:ind w:left="0" w:hanging="2"/>
        <w:jc w:val="center"/>
        <w:rPr>
          <w:rFonts w:ascii="Times New Roman" w:hAnsi="Times New Roman" w:cs="Times New Roman"/>
          <w:szCs w:val="20"/>
          <w:lang w:val="pt-BR"/>
        </w:rPr>
      </w:pPr>
      <w:r w:rsidRPr="00A42528">
        <w:rPr>
          <w:rFonts w:ascii="Times New Roman" w:hAnsi="Times New Roman" w:cs="Times New Roman"/>
          <w:szCs w:val="20"/>
          <w:lang w:val="pt-BR"/>
        </w:rPr>
        <w:t>PREFEITURA MUNICIPAL DE BELO HORIZONTE</w:t>
      </w:r>
    </w:p>
    <w:p w14:paraId="3A74AADF" w14:textId="77777777" w:rsidR="00EC4D80" w:rsidRPr="00A42528" w:rsidRDefault="00EC4D80" w:rsidP="00EC4D80">
      <w:pPr>
        <w:pStyle w:val="Ttulo1"/>
        <w:spacing w:before="0" w:after="0" w:line="240" w:lineRule="auto"/>
        <w:ind w:left="0" w:hanging="2"/>
        <w:jc w:val="center"/>
        <w:rPr>
          <w:rFonts w:ascii="Times New Roman" w:hAnsi="Times New Roman" w:cs="Times New Roman"/>
          <w:szCs w:val="20"/>
          <w:lang w:val="pt-BR"/>
        </w:rPr>
      </w:pPr>
      <w:r w:rsidRPr="00A42528">
        <w:rPr>
          <w:rFonts w:ascii="Times New Roman" w:hAnsi="Times New Roman" w:cs="Times New Roman"/>
          <w:szCs w:val="20"/>
          <w:lang w:val="pt-BR"/>
        </w:rPr>
        <w:t>FUNDAÇÃO MUNICIPAL DE CULTURA / FMC</w:t>
      </w:r>
    </w:p>
    <w:p w14:paraId="28CC04C1" w14:textId="77777777" w:rsidR="00EC4D80" w:rsidRPr="00080D65" w:rsidRDefault="00EC4D80" w:rsidP="00EC4D80">
      <w:pPr>
        <w:spacing w:line="240" w:lineRule="auto"/>
        <w:ind w:left="0" w:hanging="2"/>
        <w:jc w:val="center"/>
        <w:rPr>
          <w:rFonts w:ascii="Times New Roman" w:hAnsi="Times New Roman" w:cs="Times New Roman"/>
          <w:b/>
          <w:sz w:val="20"/>
          <w:szCs w:val="20"/>
        </w:rPr>
      </w:pPr>
      <w:bookmarkStart w:id="0" w:name="_Hlk122096288"/>
      <w:r w:rsidRPr="00080D65">
        <w:rPr>
          <w:rFonts w:ascii="Times New Roman" w:hAnsi="Times New Roman" w:cs="Times New Roman"/>
          <w:b/>
          <w:sz w:val="20"/>
          <w:szCs w:val="20"/>
        </w:rPr>
        <w:t xml:space="preserve">“AVISO DE </w:t>
      </w:r>
      <w:r>
        <w:rPr>
          <w:rFonts w:ascii="Times New Roman" w:hAnsi="Times New Roman" w:cs="Times New Roman"/>
          <w:b/>
          <w:sz w:val="20"/>
          <w:szCs w:val="20"/>
        </w:rPr>
        <w:t>ALTER</w:t>
      </w:r>
      <w:r w:rsidRPr="00080D65">
        <w:rPr>
          <w:rFonts w:ascii="Times New Roman" w:hAnsi="Times New Roman" w:cs="Times New Roman"/>
          <w:b/>
          <w:sz w:val="20"/>
          <w:szCs w:val="20"/>
        </w:rPr>
        <w:t>AÇÃO E REABERTURA D</w:t>
      </w:r>
      <w:r>
        <w:rPr>
          <w:rFonts w:ascii="Times New Roman" w:hAnsi="Times New Roman" w:cs="Times New Roman"/>
          <w:b/>
          <w:sz w:val="20"/>
          <w:szCs w:val="20"/>
        </w:rPr>
        <w:t>O</w:t>
      </w:r>
      <w:r w:rsidRPr="00080D65">
        <w:rPr>
          <w:rFonts w:ascii="Times New Roman" w:hAnsi="Times New Roman" w:cs="Times New Roman"/>
          <w:b/>
          <w:sz w:val="20"/>
          <w:szCs w:val="20"/>
        </w:rPr>
        <w:t xml:space="preserve"> EDITAL DE</w:t>
      </w:r>
    </w:p>
    <w:p w14:paraId="35DF2E7D" w14:textId="77777777" w:rsidR="00EC4D80" w:rsidRPr="00F015A9" w:rsidRDefault="00EC4D80" w:rsidP="00EC4D80">
      <w:pPr>
        <w:spacing w:line="240" w:lineRule="auto"/>
        <w:ind w:left="0" w:hanging="2"/>
        <w:jc w:val="center"/>
        <w:rPr>
          <w:rFonts w:ascii="Times New Roman" w:hAnsi="Times New Roman" w:cs="Times New Roman"/>
          <w:b/>
          <w:sz w:val="20"/>
          <w:szCs w:val="20"/>
        </w:rPr>
      </w:pPr>
      <w:r w:rsidRPr="00080D65">
        <w:rPr>
          <w:rFonts w:ascii="Times New Roman" w:hAnsi="Times New Roman" w:cs="Times New Roman"/>
          <w:b/>
          <w:sz w:val="20"/>
          <w:szCs w:val="20"/>
        </w:rPr>
        <w:t>CHAMAMENTO PÚBLICO FMC Nº</w:t>
      </w:r>
      <w:r w:rsidRPr="00A42528">
        <w:rPr>
          <w:rFonts w:ascii="Times New Roman" w:hAnsi="Times New Roman" w:cs="Times New Roman"/>
          <w:b/>
          <w:sz w:val="20"/>
          <w:szCs w:val="20"/>
        </w:rPr>
        <w:t xml:space="preserve"> 007/202</w:t>
      </w:r>
      <w:r>
        <w:rPr>
          <w:rFonts w:ascii="Times New Roman" w:hAnsi="Times New Roman" w:cs="Times New Roman"/>
          <w:b/>
          <w:sz w:val="20"/>
          <w:szCs w:val="20"/>
        </w:rPr>
        <w:t>3</w:t>
      </w:r>
      <w:r w:rsidRPr="00A42528">
        <w:rPr>
          <w:rFonts w:ascii="Times New Roman" w:hAnsi="Times New Roman" w:cs="Times New Roman"/>
          <w:b/>
          <w:sz w:val="20"/>
          <w:szCs w:val="20"/>
        </w:rPr>
        <w:t>”</w:t>
      </w:r>
      <w:bookmarkEnd w:id="0"/>
    </w:p>
    <w:p w14:paraId="4E074B19" w14:textId="77777777" w:rsidR="00EC4D80" w:rsidRPr="00A42528" w:rsidRDefault="00EC4D80" w:rsidP="00EC4D80">
      <w:pPr>
        <w:spacing w:line="240" w:lineRule="auto"/>
        <w:ind w:left="0" w:hanging="2"/>
        <w:jc w:val="center"/>
        <w:rPr>
          <w:rFonts w:ascii="Times New Roman" w:hAnsi="Times New Roman" w:cs="Times New Roman"/>
          <w:b/>
          <w:sz w:val="20"/>
          <w:szCs w:val="20"/>
        </w:rPr>
      </w:pPr>
      <w:r w:rsidRPr="00A42528">
        <w:rPr>
          <w:rFonts w:ascii="Times New Roman" w:hAnsi="Times New Roman" w:cs="Times New Roman"/>
          <w:b/>
          <w:sz w:val="20"/>
          <w:szCs w:val="20"/>
        </w:rPr>
        <w:t xml:space="preserve"> </w:t>
      </w:r>
      <w:bookmarkStart w:id="1" w:name="_Hlk184727746"/>
      <w:bookmarkStart w:id="2" w:name="_Hlk184976261"/>
      <w:r w:rsidRPr="00A42528">
        <w:rPr>
          <w:rFonts w:ascii="Times New Roman" w:hAnsi="Times New Roman" w:cs="Times New Roman"/>
          <w:b/>
          <w:bCs/>
          <w:sz w:val="20"/>
          <w:szCs w:val="20"/>
        </w:rPr>
        <w:t>10ª EDIÇÃO DA VIRADA CULTURAL DE BELO HORIZONTE</w:t>
      </w:r>
      <w:bookmarkEnd w:id="1"/>
    </w:p>
    <w:p w14:paraId="08D8E82F" w14:textId="77777777" w:rsidR="00EC4D80" w:rsidRPr="00A42528" w:rsidRDefault="00EC4D80" w:rsidP="00EC4D80">
      <w:pPr>
        <w:pBdr>
          <w:top w:val="nil"/>
          <w:left w:val="nil"/>
          <w:bottom w:val="nil"/>
          <w:right w:val="nil"/>
          <w:between w:val="nil"/>
        </w:pBdr>
        <w:spacing w:line="240" w:lineRule="auto"/>
        <w:ind w:left="0" w:hanging="2"/>
        <w:jc w:val="center"/>
        <w:rPr>
          <w:rFonts w:ascii="Times New Roman" w:hAnsi="Times New Roman" w:cs="Times New Roman"/>
          <w:b/>
          <w:sz w:val="20"/>
          <w:szCs w:val="20"/>
        </w:rPr>
      </w:pPr>
      <w:r w:rsidRPr="00A42528">
        <w:rPr>
          <w:rFonts w:ascii="Times New Roman" w:hAnsi="Times New Roman" w:cs="Times New Roman"/>
          <w:b/>
          <w:sz w:val="20"/>
          <w:szCs w:val="20"/>
        </w:rPr>
        <w:t>Processo Administrativo nº 01-059.326/23-76</w:t>
      </w:r>
    </w:p>
    <w:bookmarkEnd w:id="2"/>
    <w:p w14:paraId="04500E59" w14:textId="77777777" w:rsidR="00EC4D80" w:rsidRPr="00A42528" w:rsidRDefault="00EC4D80" w:rsidP="00EC4D80">
      <w:pPr>
        <w:spacing w:before="60" w:after="60" w:line="240" w:lineRule="auto"/>
        <w:ind w:left="0" w:hanging="2"/>
        <w:jc w:val="both"/>
        <w:rPr>
          <w:rFonts w:ascii="Times New Roman" w:hAnsi="Times New Roman" w:cs="Times New Roman"/>
          <w:sz w:val="20"/>
          <w:szCs w:val="20"/>
        </w:rPr>
      </w:pPr>
    </w:p>
    <w:p w14:paraId="0E431373" w14:textId="489D06FE" w:rsidR="00EC4D80" w:rsidRPr="00A42528" w:rsidRDefault="00EC4D80" w:rsidP="00EC4D80">
      <w:pPr>
        <w:spacing w:before="60" w:after="60" w:line="240" w:lineRule="auto"/>
        <w:ind w:left="0" w:hanging="2"/>
        <w:jc w:val="both"/>
        <w:rPr>
          <w:rFonts w:ascii="Times New Roman" w:hAnsi="Times New Roman" w:cs="Times New Roman"/>
          <w:sz w:val="20"/>
          <w:szCs w:val="20"/>
        </w:rPr>
      </w:pPr>
      <w:r w:rsidRPr="00A42528">
        <w:rPr>
          <w:rFonts w:ascii="Times New Roman" w:hAnsi="Times New Roman" w:cs="Times New Roman"/>
          <w:sz w:val="20"/>
          <w:szCs w:val="20"/>
        </w:rPr>
        <w:t xml:space="preserve">O Presidente da Fundação Municipal de Cultura, no uso de suas atribuições, comunica a reabertura do edital de Chamamento Público nº </w:t>
      </w:r>
      <w:r w:rsidRPr="00B46F68">
        <w:rPr>
          <w:rFonts w:ascii="Times New Roman" w:hAnsi="Times New Roman" w:cs="Times New Roman"/>
          <w:b/>
          <w:sz w:val="20"/>
          <w:szCs w:val="20"/>
        </w:rPr>
        <w:t>007/202</w:t>
      </w:r>
      <w:r w:rsidR="005B49CB" w:rsidRPr="00B46F68">
        <w:rPr>
          <w:rFonts w:ascii="Times New Roman" w:hAnsi="Times New Roman" w:cs="Times New Roman"/>
          <w:b/>
          <w:sz w:val="20"/>
          <w:szCs w:val="20"/>
        </w:rPr>
        <w:t>3</w:t>
      </w:r>
      <w:r w:rsidRPr="00B46F68">
        <w:rPr>
          <w:rFonts w:ascii="Times New Roman" w:hAnsi="Times New Roman" w:cs="Times New Roman"/>
          <w:sz w:val="20"/>
          <w:szCs w:val="20"/>
        </w:rPr>
        <w:t xml:space="preserve">, para seleção de propostas de Organização da Sociedade Civil – OSC, regularmente constituída, com sede ou instalações no Município de Belo Horizonte, que tenha interesse em realizar a </w:t>
      </w:r>
      <w:r w:rsidRPr="00B46F68">
        <w:rPr>
          <w:rFonts w:ascii="Times New Roman" w:hAnsi="Times New Roman" w:cs="Times New Roman"/>
          <w:b/>
          <w:bCs/>
          <w:sz w:val="20"/>
          <w:szCs w:val="20"/>
        </w:rPr>
        <w:t>10ª EDIÇÃO DA VIRADA CULTURAL DE BELO HORIZONTE</w:t>
      </w:r>
      <w:r w:rsidRPr="00B46F68">
        <w:rPr>
          <w:rFonts w:ascii="Times New Roman" w:hAnsi="Times New Roman" w:cs="Times New Roman"/>
          <w:sz w:val="20"/>
          <w:szCs w:val="20"/>
        </w:rPr>
        <w:t xml:space="preserve">, em parceria com a Fundação Municipal de Cultura, e altera o referido edital, </w:t>
      </w:r>
      <w:r w:rsidR="00A40872" w:rsidRPr="00B46F68">
        <w:rPr>
          <w:rFonts w:ascii="Times New Roman" w:hAnsi="Times New Roman" w:cs="Times New Roman"/>
          <w:sz w:val="20"/>
          <w:szCs w:val="20"/>
        </w:rPr>
        <w:t xml:space="preserve">publicada </w:t>
      </w:r>
      <w:r w:rsidRPr="00B46F68">
        <w:rPr>
          <w:rFonts w:ascii="Times New Roman" w:hAnsi="Times New Roman" w:cs="Times New Roman"/>
          <w:sz w:val="20"/>
          <w:szCs w:val="20"/>
        </w:rPr>
        <w:t>em 2</w:t>
      </w:r>
      <w:r w:rsidR="005B49CB" w:rsidRPr="00B46F68">
        <w:rPr>
          <w:rFonts w:ascii="Times New Roman" w:hAnsi="Times New Roman" w:cs="Times New Roman"/>
          <w:sz w:val="20"/>
          <w:szCs w:val="20"/>
        </w:rPr>
        <w:t>0</w:t>
      </w:r>
      <w:r w:rsidRPr="00B46F68">
        <w:rPr>
          <w:rFonts w:ascii="Times New Roman" w:hAnsi="Times New Roman" w:cs="Times New Roman"/>
          <w:sz w:val="20"/>
          <w:szCs w:val="20"/>
        </w:rPr>
        <w:t>/12/202</w:t>
      </w:r>
      <w:r w:rsidR="005B49CB" w:rsidRPr="00B46F68">
        <w:rPr>
          <w:rFonts w:ascii="Times New Roman" w:hAnsi="Times New Roman" w:cs="Times New Roman"/>
          <w:sz w:val="20"/>
          <w:szCs w:val="20"/>
        </w:rPr>
        <w:t>3</w:t>
      </w:r>
      <w:r w:rsidRPr="00B46F68">
        <w:rPr>
          <w:rFonts w:ascii="Times New Roman" w:hAnsi="Times New Roman" w:cs="Times New Roman"/>
          <w:sz w:val="20"/>
          <w:szCs w:val="20"/>
        </w:rPr>
        <w:t>,</w:t>
      </w:r>
      <w:r w:rsidRPr="00A42528">
        <w:rPr>
          <w:rFonts w:ascii="Times New Roman" w:hAnsi="Times New Roman" w:cs="Times New Roman"/>
          <w:sz w:val="20"/>
          <w:szCs w:val="20"/>
        </w:rPr>
        <w:t xml:space="preserve"> nos seguintes termos:</w:t>
      </w:r>
    </w:p>
    <w:p w14:paraId="2E13120B" w14:textId="77777777" w:rsidR="001B767A" w:rsidRDefault="001B767A">
      <w:pPr>
        <w:spacing w:before="60" w:after="60"/>
        <w:ind w:left="0" w:hanging="2"/>
        <w:jc w:val="both"/>
        <w:rPr>
          <w:rFonts w:ascii="Times New Roman" w:eastAsia="Times New Roman" w:hAnsi="Times New Roman" w:cs="Times New Roman"/>
          <w:sz w:val="20"/>
          <w:szCs w:val="20"/>
        </w:rPr>
      </w:pPr>
    </w:p>
    <w:p w14:paraId="2CA806D7"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i. No preâmbulo do edital:</w:t>
      </w:r>
    </w:p>
    <w:p w14:paraId="451B2D96" w14:textId="77777777" w:rsidR="001B767A" w:rsidRDefault="00EC4D80">
      <w:pPr>
        <w:ind w:left="0" w:hanging="2"/>
        <w:jc w:val="both"/>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rPr>
        <w:t xml:space="preserve">Onde se lê: </w:t>
      </w:r>
    </w:p>
    <w:p w14:paraId="3EB0B845"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este Chamamento Público estão previstos recursos no montante de </w:t>
      </w:r>
      <w:r>
        <w:rPr>
          <w:rFonts w:ascii="Times New Roman" w:eastAsia="Times New Roman" w:hAnsi="Times New Roman" w:cs="Times New Roman"/>
          <w:sz w:val="20"/>
          <w:szCs w:val="20"/>
          <w:highlight w:val="white"/>
        </w:rPr>
        <w:t>R$4.601.407,00 (quatro milhões, seiscentos e um mil, quatrocentos e sete reais)</w:t>
      </w:r>
      <w:r>
        <w:rPr>
          <w:rFonts w:ascii="Times New Roman" w:eastAsia="Times New Roman" w:hAnsi="Times New Roman" w:cs="Times New Roman"/>
          <w:sz w:val="20"/>
          <w:szCs w:val="20"/>
        </w:rPr>
        <w:t>, oriundos do Tesouro Municipal e encontram-se devidamente aprovados pela Câmara de Coordenação Geral do Município de Belo Horizonte – CCG.</w:t>
      </w:r>
    </w:p>
    <w:p w14:paraId="1C9A14AC"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Leia-se:</w:t>
      </w:r>
    </w:p>
    <w:p w14:paraId="5E17C9A6" w14:textId="77777777" w:rsidR="001B767A" w:rsidRDefault="00EC4D80">
      <w:pPr>
        <w:ind w:left="0" w:hanging="2"/>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Para este Chamamento Público estão previstos recursos no montante de R$4.900.000,00 (quatro milhões e novecentos mil reais), oriundos do Tesouro Municipal e encontram-se devidamente aprovados pela Câmara de Coordenação Geral do Município de Belo Horizonte – CCG.</w:t>
      </w:r>
    </w:p>
    <w:p w14:paraId="519FC3DD" w14:textId="77777777" w:rsidR="001B767A" w:rsidRDefault="001B767A">
      <w:pPr>
        <w:ind w:left="0" w:hanging="2"/>
        <w:jc w:val="both"/>
        <w:rPr>
          <w:rFonts w:ascii="Times New Roman" w:eastAsia="Times New Roman" w:hAnsi="Times New Roman" w:cs="Times New Roman"/>
          <w:b/>
          <w:sz w:val="20"/>
          <w:szCs w:val="20"/>
          <w:highlight w:val="white"/>
        </w:rPr>
      </w:pPr>
    </w:p>
    <w:p w14:paraId="7929D7F6" w14:textId="77777777" w:rsidR="001B767A" w:rsidRDefault="001B767A">
      <w:pPr>
        <w:ind w:left="0" w:hanging="2"/>
        <w:jc w:val="both"/>
        <w:rPr>
          <w:rFonts w:ascii="Times New Roman" w:eastAsia="Times New Roman" w:hAnsi="Times New Roman" w:cs="Times New Roman"/>
          <w:b/>
          <w:sz w:val="20"/>
          <w:szCs w:val="20"/>
          <w:highlight w:val="white"/>
        </w:rPr>
      </w:pPr>
    </w:p>
    <w:p w14:paraId="554F0109" w14:textId="77777777" w:rsidR="001B767A" w:rsidRDefault="00EC4D80">
      <w:pPr>
        <w:ind w:left="0" w:hanging="2"/>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ii</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highlight w:val="white"/>
        </w:rPr>
        <w:t xml:space="preserve">No </w:t>
      </w:r>
      <w:r>
        <w:rPr>
          <w:rFonts w:ascii="Times New Roman" w:eastAsia="Times New Roman" w:hAnsi="Times New Roman" w:cs="Times New Roman"/>
          <w:b/>
          <w:sz w:val="20"/>
          <w:szCs w:val="20"/>
        </w:rPr>
        <w:t>item 2. OBJETO</w:t>
      </w:r>
    </w:p>
    <w:p w14:paraId="52E79C19"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 </w:t>
      </w:r>
      <w:proofErr w:type="gramStart"/>
      <w:r>
        <w:rPr>
          <w:rFonts w:ascii="Times New Roman" w:eastAsia="Times New Roman" w:hAnsi="Times New Roman" w:cs="Times New Roman"/>
          <w:sz w:val="20"/>
          <w:szCs w:val="20"/>
          <w:highlight w:val="white"/>
        </w:rPr>
        <w:t>a</w:t>
      </w:r>
      <w:proofErr w:type="gramEnd"/>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10ª Edição da Virada Cultural de Belo Horizonte 2025</w:t>
      </w:r>
      <w:r>
        <w:rPr>
          <w:rFonts w:ascii="Times New Roman" w:eastAsia="Times New Roman" w:hAnsi="Times New Roman" w:cs="Times New Roman"/>
          <w:sz w:val="20"/>
          <w:szCs w:val="20"/>
          <w:highlight w:val="white"/>
        </w:rPr>
        <w:t>, em agosto de 2025, sendo a entrega de propostas prevista para novembro de 2024 (segundo período para a entrega de propostas referente à 10ª edição da Virada Cultural). Haverá divulgação específica para a entrega destas propostas, em 2024.</w:t>
      </w:r>
    </w:p>
    <w:p w14:paraId="1A5C3F27"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Leia-se:</w:t>
      </w:r>
    </w:p>
    <w:p w14:paraId="5FEF8D5D" w14:textId="77777777" w:rsidR="001B767A" w:rsidRDefault="00EC4D80">
      <w:pPr>
        <w:spacing w:before="60" w:after="60"/>
        <w:ind w:left="0" w:hanging="2"/>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highlight w:val="white"/>
        </w:rPr>
        <w:t xml:space="preserve">- </w:t>
      </w:r>
      <w:proofErr w:type="gramStart"/>
      <w:r>
        <w:rPr>
          <w:rFonts w:ascii="Times New Roman" w:eastAsia="Times New Roman" w:hAnsi="Times New Roman" w:cs="Times New Roman"/>
          <w:sz w:val="20"/>
          <w:szCs w:val="20"/>
          <w:highlight w:val="white"/>
        </w:rPr>
        <w:t>a</w:t>
      </w:r>
      <w:proofErr w:type="gramEnd"/>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10ª Edição da Virada Cultural de Belo Horizonte 2025</w:t>
      </w:r>
      <w:r>
        <w:rPr>
          <w:rFonts w:ascii="Times New Roman" w:eastAsia="Times New Roman" w:hAnsi="Times New Roman" w:cs="Times New Roman"/>
          <w:sz w:val="20"/>
          <w:szCs w:val="20"/>
          <w:highlight w:val="white"/>
        </w:rPr>
        <w:t>, em agosto de 2025.</w:t>
      </w:r>
    </w:p>
    <w:p w14:paraId="040F0C98" w14:textId="77777777" w:rsidR="001B767A" w:rsidRDefault="001B767A" w:rsidP="00575BA0">
      <w:pPr>
        <w:ind w:left="0" w:hanging="2"/>
        <w:rPr>
          <w:rFonts w:ascii="Times New Roman" w:eastAsia="Times New Roman" w:hAnsi="Times New Roman" w:cs="Times New Roman"/>
          <w:b/>
          <w:sz w:val="20"/>
          <w:szCs w:val="20"/>
        </w:rPr>
      </w:pPr>
    </w:p>
    <w:p w14:paraId="5062D499" w14:textId="77777777" w:rsidR="001B767A" w:rsidRDefault="00EC4D80">
      <w:pPr>
        <w:ind w:left="0" w:hanging="2"/>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iii</w:t>
      </w:r>
      <w:proofErr w:type="spellEnd"/>
      <w:r>
        <w:rPr>
          <w:rFonts w:ascii="Times New Roman" w:eastAsia="Times New Roman" w:hAnsi="Times New Roman" w:cs="Times New Roman"/>
          <w:b/>
          <w:sz w:val="20"/>
          <w:szCs w:val="20"/>
        </w:rPr>
        <w:t>. No item 3. POLÍTICA, PLANO, PROGRAMA OU AÇÃO</w:t>
      </w:r>
    </w:p>
    <w:p w14:paraId="7A82BFF4"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Onde se lê:</w:t>
      </w:r>
    </w:p>
    <w:p w14:paraId="050AF3B2"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tanto, serão necessárias as devidas negociações alinhamentos entre a OSC selecionada e a FMC/SMC, para proceder com as alterações no Plano de Trabalho ou por meio de Aditivo, podendo alterar, inclusive, o orçamento, as metas e as datas de realização, bem como, o desembolso das parcelas, as diretrizes e os elementos mínimos de programação. Também poderá ser necessária a atualização de informações do presente edital, o que será amplamente divulgado e publicado no Diário Oficial do Município. </w:t>
      </w:r>
    </w:p>
    <w:p w14:paraId="1033B77A"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Leia-se:</w:t>
      </w:r>
    </w:p>
    <w:p w14:paraId="2B12858F"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tanto, serão necessárias as devidas negociações e alinhamentos entre a OSC selecionada e a FMC/SMC, para proceder com as alterações no Plano de Trabalho ou por meio de </w:t>
      </w:r>
      <w:r>
        <w:rPr>
          <w:rFonts w:ascii="Times New Roman" w:eastAsia="Times New Roman" w:hAnsi="Times New Roman" w:cs="Times New Roman"/>
          <w:b/>
          <w:sz w:val="20"/>
          <w:szCs w:val="20"/>
        </w:rPr>
        <w:t>instrumento adequado, nos termos do artigo 46 do Decreto 16.746 de 2017</w:t>
      </w:r>
      <w:r>
        <w:rPr>
          <w:rFonts w:ascii="Times New Roman" w:eastAsia="Times New Roman" w:hAnsi="Times New Roman" w:cs="Times New Roman"/>
          <w:sz w:val="20"/>
          <w:szCs w:val="20"/>
        </w:rPr>
        <w:t xml:space="preserve">, podendo alterar, inclusive, o orçamento, as metas e as datas de realização, bem como, o desembolso das parcelas, as diretrizes e os elementos mínimos de programação. Também poderá ser necessária a atualização de informações do presente edital, o que será amplamente divulgado e publicado no Diário Oficial do Município. </w:t>
      </w:r>
    </w:p>
    <w:p w14:paraId="009A884F" w14:textId="77777777" w:rsidR="001B767A" w:rsidRDefault="001B767A">
      <w:pPr>
        <w:ind w:left="0" w:hanging="2"/>
        <w:jc w:val="both"/>
        <w:rPr>
          <w:rFonts w:ascii="Times New Roman" w:eastAsia="Times New Roman" w:hAnsi="Times New Roman" w:cs="Times New Roman"/>
          <w:b/>
          <w:sz w:val="20"/>
          <w:szCs w:val="20"/>
        </w:rPr>
      </w:pPr>
    </w:p>
    <w:p w14:paraId="436BEB82" w14:textId="77777777" w:rsidR="001B767A" w:rsidRDefault="001B767A">
      <w:pPr>
        <w:ind w:left="0" w:hanging="2"/>
        <w:jc w:val="both"/>
        <w:rPr>
          <w:rFonts w:ascii="Times New Roman" w:eastAsia="Times New Roman" w:hAnsi="Times New Roman" w:cs="Times New Roman"/>
          <w:b/>
          <w:sz w:val="20"/>
          <w:szCs w:val="20"/>
        </w:rPr>
      </w:pPr>
    </w:p>
    <w:p w14:paraId="1E36A588" w14:textId="77777777" w:rsidR="001B767A" w:rsidRDefault="00EC4D80">
      <w:pPr>
        <w:ind w:left="0" w:hanging="2"/>
        <w:jc w:val="both"/>
        <w:rPr>
          <w:rFonts w:ascii="Times New Roman" w:eastAsia="Times New Roman" w:hAnsi="Times New Roman" w:cs="Times New Roman"/>
          <w:sz w:val="20"/>
          <w:szCs w:val="20"/>
          <w:highlight w:val="white"/>
        </w:rPr>
      </w:pPr>
      <w:proofErr w:type="spellStart"/>
      <w:r>
        <w:rPr>
          <w:rFonts w:ascii="Times New Roman" w:eastAsia="Times New Roman" w:hAnsi="Times New Roman" w:cs="Times New Roman"/>
          <w:b/>
          <w:sz w:val="20"/>
          <w:szCs w:val="20"/>
        </w:rPr>
        <w:t>iv</w:t>
      </w:r>
      <w:proofErr w:type="spellEnd"/>
      <w:r>
        <w:rPr>
          <w:rFonts w:ascii="Times New Roman" w:eastAsia="Times New Roman" w:hAnsi="Times New Roman" w:cs="Times New Roman"/>
          <w:b/>
          <w:sz w:val="20"/>
          <w:szCs w:val="20"/>
        </w:rPr>
        <w:t>. No item 5. DOS RECURSOS FINANCEIROS do edital, no subitem 5.1.</w:t>
      </w:r>
      <w:r>
        <w:rPr>
          <w:rFonts w:ascii="Times New Roman" w:eastAsia="Times New Roman" w:hAnsi="Times New Roman" w:cs="Times New Roman"/>
          <w:b/>
          <w:sz w:val="20"/>
          <w:szCs w:val="20"/>
          <w:highlight w:val="white"/>
        </w:rPr>
        <w:t>:</w:t>
      </w:r>
    </w:p>
    <w:p w14:paraId="31792667"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Onde se lê:</w:t>
      </w:r>
    </w:p>
    <w:p w14:paraId="0FC308A6"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b/>
          <w:sz w:val="20"/>
          <w:szCs w:val="20"/>
          <w:highlight w:val="white"/>
        </w:rPr>
        <w:t>5.1.</w:t>
      </w:r>
      <w:r>
        <w:rPr>
          <w:rFonts w:ascii="Times New Roman" w:eastAsia="Times New Roman" w:hAnsi="Times New Roman" w:cs="Times New Roman"/>
          <w:sz w:val="20"/>
          <w:szCs w:val="20"/>
          <w:highlight w:val="white"/>
        </w:rPr>
        <w:t>  Para a execução da parceria decorrente deste Chamamento Público serão destinados o valor de R$4.601.407,00 (quatro milhões, seiscentos e um mil, quatrocentos e sete reais), em empenhos distintos, respectivamente em 2024 e 2025 sendo:  </w:t>
      </w:r>
    </w:p>
    <w:p w14:paraId="482F89DE"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highlight w:val="white"/>
        </w:rPr>
        <w:t xml:space="preserve">- Valor previsto para a execução da </w:t>
      </w:r>
      <w:r>
        <w:rPr>
          <w:rFonts w:ascii="Times New Roman" w:eastAsia="Times New Roman" w:hAnsi="Times New Roman" w:cs="Times New Roman"/>
          <w:b/>
          <w:sz w:val="20"/>
          <w:szCs w:val="20"/>
          <w:highlight w:val="white"/>
        </w:rPr>
        <w:t>9ª Virada Cultural de Belo Horizonte 2024</w:t>
      </w:r>
      <w:r>
        <w:rPr>
          <w:rFonts w:ascii="Times New Roman" w:eastAsia="Times New Roman" w:hAnsi="Times New Roman" w:cs="Times New Roman"/>
          <w:sz w:val="20"/>
          <w:szCs w:val="20"/>
          <w:highlight w:val="white"/>
        </w:rPr>
        <w:t>: R$2.400.000,00 (dois milhões e quatrocentos mil reais);</w:t>
      </w:r>
    </w:p>
    <w:p w14:paraId="62C8E103"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highlight w:val="white"/>
        </w:rPr>
        <w:t xml:space="preserve">- Valor previsto para a execução da </w:t>
      </w:r>
      <w:r>
        <w:rPr>
          <w:rFonts w:ascii="Times New Roman" w:eastAsia="Times New Roman" w:hAnsi="Times New Roman" w:cs="Times New Roman"/>
          <w:b/>
          <w:sz w:val="20"/>
          <w:szCs w:val="20"/>
          <w:highlight w:val="white"/>
        </w:rPr>
        <w:t>10ª Virada Cultural de Belo Horizonte 2025</w:t>
      </w:r>
      <w:r>
        <w:rPr>
          <w:rFonts w:ascii="Times New Roman" w:eastAsia="Times New Roman" w:hAnsi="Times New Roman" w:cs="Times New Roman"/>
          <w:sz w:val="20"/>
          <w:szCs w:val="20"/>
          <w:highlight w:val="white"/>
        </w:rPr>
        <w:t xml:space="preserve">: R$2.201.407,00 (dois milhões </w:t>
      </w:r>
      <w:r>
        <w:rPr>
          <w:rFonts w:ascii="Times New Roman" w:eastAsia="Times New Roman" w:hAnsi="Times New Roman" w:cs="Times New Roman"/>
          <w:sz w:val="20"/>
          <w:szCs w:val="20"/>
          <w:highlight w:val="white"/>
        </w:rPr>
        <w:lastRenderedPageBreak/>
        <w:t>duzentos e um mil, quatrocentos e sete reais), a depender da aprovação da Lei Orçamentária Anual 2024; </w:t>
      </w:r>
    </w:p>
    <w:p w14:paraId="4F6D2859"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rPr>
        <w:t>Todos os recursos acima são oriundos do Tesouro Municipal.</w:t>
      </w:r>
    </w:p>
    <w:p w14:paraId="29B1CCA1"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b/>
          <w:sz w:val="20"/>
          <w:szCs w:val="20"/>
        </w:rPr>
        <w:t xml:space="preserve">5.2. </w:t>
      </w:r>
      <w:r>
        <w:rPr>
          <w:rFonts w:ascii="Times New Roman" w:eastAsia="Times New Roman" w:hAnsi="Times New Roman" w:cs="Times New Roman"/>
          <w:sz w:val="20"/>
          <w:szCs w:val="20"/>
        </w:rPr>
        <w:t>As despesas decorrentes da execução do objeto serão acobertadas pela seguinte dotação orçamentária: </w:t>
      </w:r>
    </w:p>
    <w:p w14:paraId="2503FE5A"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highlight w:val="white"/>
        </w:rPr>
        <w:t>Ficha 3616 3103.1100.13.392.154.2.371.0008.339039-22 0000 100 CO 0000 R$2.400.000,00 9ª Virada Cultural de Belo Horizonte 2024</w:t>
      </w:r>
    </w:p>
    <w:p w14:paraId="25418F93"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Ficha 3616 3103.1100.13.392.154.2.371.0008.339039-22 0000 100 CO 0000 R$2.201.407,00 10ª Virada Cultural de Belo Horizonte 2025</w:t>
      </w:r>
    </w:p>
    <w:p w14:paraId="5F2DBBD0"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Leia-se:</w:t>
      </w:r>
    </w:p>
    <w:p w14:paraId="788B0A5A" w14:textId="77777777" w:rsidR="001B767A" w:rsidRDefault="00EC4D80">
      <w:pPr>
        <w:spacing w:before="60" w:after="60"/>
        <w:ind w:left="0" w:hanging="2"/>
        <w:jc w:val="both"/>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5.1.</w:t>
      </w:r>
      <w:r>
        <w:rPr>
          <w:rFonts w:ascii="Times New Roman" w:eastAsia="Times New Roman" w:hAnsi="Times New Roman" w:cs="Times New Roman"/>
          <w:sz w:val="20"/>
          <w:szCs w:val="20"/>
          <w:highlight w:val="white"/>
        </w:rPr>
        <w:t xml:space="preserve">  Para a execução da parceria decorrente deste Chamamento Público serão destinados o valor de </w:t>
      </w:r>
      <w:r>
        <w:rPr>
          <w:rFonts w:ascii="Times New Roman" w:eastAsia="Times New Roman" w:hAnsi="Times New Roman" w:cs="Times New Roman"/>
          <w:sz w:val="20"/>
          <w:szCs w:val="20"/>
        </w:rPr>
        <w:t>R$4.900.000,00 (quatro milhões e novecentos mil reais), oriundos do Tesouro Municipal e encontram-se devidamente aprovados pela Câmara de Coordenação Geral do Município de Belo Horizonte – CCG.</w:t>
      </w:r>
    </w:p>
    <w:p w14:paraId="09191F33"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highlight w:val="white"/>
        </w:rPr>
        <w:t>- Valor utilizado para a execução da 9ª Virada Cultural de Belo Horizonte 2024: R$2.400.000,00 (dois milhões e quatrocentos mil reais);</w:t>
      </w:r>
    </w:p>
    <w:p w14:paraId="23CEAEC9" w14:textId="77777777" w:rsidR="001B767A" w:rsidRDefault="00EC4D80">
      <w:pPr>
        <w:spacing w:before="60" w:after="60"/>
        <w:ind w:left="0" w:hanging="2"/>
        <w:jc w:val="both"/>
        <w:rPr>
          <w:rFonts w:ascii="Times New Roman" w:eastAsia="Times New Roman" w:hAnsi="Times New Roman" w:cs="Times New Roman"/>
          <w:b/>
        </w:rPr>
      </w:pPr>
      <w:r>
        <w:rPr>
          <w:rFonts w:ascii="Times New Roman" w:eastAsia="Times New Roman" w:hAnsi="Times New Roman" w:cs="Times New Roman"/>
          <w:b/>
          <w:sz w:val="20"/>
          <w:szCs w:val="20"/>
          <w:highlight w:val="white"/>
        </w:rPr>
        <w:t>- Valor previsto para a execução da 10ª Virada Cultural de Belo Horizonte 2025: R$2.500.000,00 (dois milhões e quinhentos mil reais); </w:t>
      </w:r>
    </w:p>
    <w:p w14:paraId="4B1424E5"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rPr>
        <w:t>Todos os recursos acima são oriundos do Tesouro Municipal.</w:t>
      </w:r>
    </w:p>
    <w:p w14:paraId="5ED830CB"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b/>
          <w:sz w:val="20"/>
          <w:szCs w:val="20"/>
        </w:rPr>
        <w:t xml:space="preserve">5.2. </w:t>
      </w:r>
      <w:r>
        <w:rPr>
          <w:rFonts w:ascii="Times New Roman" w:eastAsia="Times New Roman" w:hAnsi="Times New Roman" w:cs="Times New Roman"/>
          <w:sz w:val="20"/>
          <w:szCs w:val="20"/>
        </w:rPr>
        <w:t>As despesas decorrentes da execução do objeto serão acobertadas pela seguinte dotação orçamentária: </w:t>
      </w:r>
    </w:p>
    <w:p w14:paraId="26D4C027"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rPr>
        <w:t>Ficha 3616 3103.1100.13.392.154.2.371.0008.339039-22 0000 100 CO 0000 R$2.400.000,00 9ª Virada Cultural de Belo Horizonte 2024</w:t>
      </w:r>
    </w:p>
    <w:p w14:paraId="4ADC5AEE"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Ficha 3616 3103.1100.13.392.154.2.371.0008.339039-22 0000 100 CO 0000 R$2.201.407,00 10ª Virada Cultural de Belo Horizonte 2025</w:t>
      </w:r>
    </w:p>
    <w:p w14:paraId="0299303C" w14:textId="77777777" w:rsidR="001B767A" w:rsidRDefault="001B767A">
      <w:pPr>
        <w:ind w:left="0" w:hanging="2"/>
        <w:jc w:val="both"/>
        <w:rPr>
          <w:rFonts w:ascii="Times New Roman" w:eastAsia="Times New Roman" w:hAnsi="Times New Roman" w:cs="Times New Roman"/>
          <w:sz w:val="20"/>
          <w:szCs w:val="20"/>
        </w:rPr>
      </w:pPr>
    </w:p>
    <w:p w14:paraId="49DC241F" w14:textId="77777777" w:rsidR="001B767A" w:rsidRDefault="001B767A">
      <w:pPr>
        <w:ind w:left="0" w:hanging="2"/>
        <w:jc w:val="both"/>
        <w:rPr>
          <w:rFonts w:ascii="Times New Roman" w:eastAsia="Times New Roman" w:hAnsi="Times New Roman" w:cs="Times New Roman"/>
          <w:sz w:val="20"/>
          <w:szCs w:val="20"/>
        </w:rPr>
      </w:pPr>
    </w:p>
    <w:p w14:paraId="1D628731"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 No item 7. DAS CONDIÇÕES DE PARTICIPAÇÃO, </w:t>
      </w:r>
    </w:p>
    <w:p w14:paraId="67E929AE"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Onde se lê:</w:t>
      </w:r>
    </w:p>
    <w:p w14:paraId="76F0F1F7"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 É permitida a atuação em rede por duas ou mais organizações da sociedade civil, desde que a OSC proponente sinalize, na Proposta, o interesse em atuar em rede e desde que, após a eventual celebração da parceria, a OSC celebrante formalize termo de atuação em rede com as instituições executantes e não celebrantes nos termos dos artigos 48 a 50 do Decreto Municipal nº 16.746/2017.</w:t>
      </w:r>
    </w:p>
    <w:p w14:paraId="147F974E"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7.5.1. A atuação em rede será formalizada entre a OSC celebrante e cada uma das </w:t>
      </w:r>
      <w:proofErr w:type="spellStart"/>
      <w:r>
        <w:rPr>
          <w:rFonts w:ascii="Times New Roman" w:eastAsia="Times New Roman" w:hAnsi="Times New Roman" w:cs="Times New Roman"/>
          <w:sz w:val="20"/>
          <w:szCs w:val="20"/>
        </w:rPr>
        <w:t>OSCs</w:t>
      </w:r>
      <w:proofErr w:type="spellEnd"/>
      <w:r>
        <w:rPr>
          <w:rFonts w:ascii="Times New Roman" w:eastAsia="Times New Roman" w:hAnsi="Times New Roman" w:cs="Times New Roman"/>
          <w:sz w:val="20"/>
          <w:szCs w:val="20"/>
        </w:rPr>
        <w:t xml:space="preserve"> executantes e não celebrantes por meio de termo de atuação em rede.</w:t>
      </w:r>
    </w:p>
    <w:p w14:paraId="7DDC4780"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7.5.2. A OSC celebrante deverá comunicar à FMC, a assinatura do termo de atuação em rede no prazo de até 20 (vinte) dias úteis, contados da data de sua assinatura, e de até 5 (cinco) dias úteis, contados da data da rescisão, respectivamente</w:t>
      </w:r>
    </w:p>
    <w:p w14:paraId="06AFF43D"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7.5.3. A OSC celebrante compromete-se a firmar termo de atuação em rede com as demais organizações executantes e não celebrantes, que especificará direitos e obrigações recíprocas e estabelecerá, no mínimo, as ações, as metas e os prazos que serão desenvolvidos pelas OSC executantes, bem como o valor a ser repassado a elas pela OSC celebrante.</w:t>
      </w:r>
    </w:p>
    <w:p w14:paraId="273969A8"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7.5.4. A OSC celebrante deverá assegurar, no momento da celebração do termo de atuação em rede, a regularidade jurídica e fiscal da OSC executante e não celebrante, que será verificada por meio da apresentação dos seguintes documentos:</w:t>
      </w:r>
    </w:p>
    <w:p w14:paraId="60970CEC"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 Comprovante de inscrição no CNPJ, emitido no sítio eletrônico oficial da Secretaria da Receita Federal do Brasil.</w:t>
      </w:r>
    </w:p>
    <w:p w14:paraId="1DD7B119"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 – Cópia do estatuto e eventuais alterações registradas.</w:t>
      </w:r>
    </w:p>
    <w:p w14:paraId="76B1CD1E"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III – Certidões previstas nos incisos VI a IX do art. 27 do decreto 16.746/2017.</w:t>
      </w:r>
    </w:p>
    <w:p w14:paraId="1E16EB37"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IV – Declaração do representante legal da OSC executante e não celebrante de que não possui impedimento nos cadastros municipais, estaduais ou federais.</w:t>
      </w:r>
    </w:p>
    <w:p w14:paraId="704A656F"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7.5.5. Fica vedada a participação em rede de OSC executante que tenha mantido relação jurídica nos últimos 5 (cinco) anos com, no mínimo, um dos integrantes da Comissão de Seleção de Propostas responsável pelo Chamamento Público que resultou na celebração da presente parceria.</w:t>
      </w:r>
    </w:p>
    <w:p w14:paraId="712245F6"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7.5.6. Fica a OSC celebrante responsável pelas obrigações decorrentes da celebração da parceria e da respectiva atuação em rede e responsável pelos atos realizados pela rede.</w:t>
      </w:r>
    </w:p>
    <w:p w14:paraId="4AE2EB46"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atuação em rede é permitida como uma das alternativas para fortalecer a capacidade de execução de eventos de grande porte, com a somatória de profissionais e suas expertises em cada uma das </w:t>
      </w:r>
      <w:proofErr w:type="spellStart"/>
      <w:r>
        <w:rPr>
          <w:rFonts w:ascii="Times New Roman" w:eastAsia="Times New Roman" w:hAnsi="Times New Roman" w:cs="Times New Roman"/>
          <w:sz w:val="20"/>
          <w:szCs w:val="20"/>
        </w:rPr>
        <w:t>OSCs</w:t>
      </w:r>
      <w:proofErr w:type="spellEnd"/>
      <w:r>
        <w:rPr>
          <w:rFonts w:ascii="Times New Roman" w:eastAsia="Times New Roman" w:hAnsi="Times New Roman" w:cs="Times New Roman"/>
          <w:sz w:val="20"/>
          <w:szCs w:val="20"/>
        </w:rPr>
        <w:t xml:space="preserve"> participantes da Rede.</w:t>
      </w:r>
    </w:p>
    <w:p w14:paraId="7E68AE79"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Leia-se:</w:t>
      </w:r>
    </w:p>
    <w:p w14:paraId="10FA5431"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 É vedada a participação em rede de OSC neste edital.</w:t>
      </w:r>
    </w:p>
    <w:p w14:paraId="6E7C9591" w14:textId="77777777" w:rsidR="001B767A" w:rsidRDefault="001B767A">
      <w:pPr>
        <w:ind w:left="0" w:hanging="2"/>
        <w:jc w:val="both"/>
        <w:rPr>
          <w:rFonts w:ascii="Times New Roman" w:eastAsia="Times New Roman" w:hAnsi="Times New Roman" w:cs="Times New Roman"/>
          <w:sz w:val="20"/>
          <w:szCs w:val="20"/>
        </w:rPr>
      </w:pPr>
    </w:p>
    <w:p w14:paraId="3C82DD9A" w14:textId="77777777" w:rsidR="001B767A" w:rsidRDefault="001B767A">
      <w:pPr>
        <w:ind w:left="0" w:hanging="2"/>
        <w:jc w:val="both"/>
        <w:rPr>
          <w:rFonts w:ascii="Times New Roman" w:eastAsia="Times New Roman" w:hAnsi="Times New Roman" w:cs="Times New Roman"/>
          <w:sz w:val="20"/>
          <w:szCs w:val="20"/>
        </w:rPr>
      </w:pPr>
    </w:p>
    <w:p w14:paraId="037C3597"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vi. No item 10.7.1 Comprovação dos custos</w:t>
      </w:r>
    </w:p>
    <w:p w14:paraId="4F2090C3"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 Onde se lê:</w:t>
      </w:r>
    </w:p>
    <w:p w14:paraId="2F5E5771"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10.7.1. Comprovação dos custos:</w:t>
      </w:r>
    </w:p>
    <w:p w14:paraId="514D5248"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Para </w:t>
      </w:r>
      <w:r>
        <w:rPr>
          <w:rFonts w:ascii="Times New Roman" w:eastAsia="Times New Roman" w:hAnsi="Times New Roman" w:cs="Times New Roman"/>
          <w:b/>
          <w:sz w:val="20"/>
          <w:szCs w:val="20"/>
        </w:rPr>
        <w:t xml:space="preserve">comprovação dos valores a serem apresentados pela OSC na proposta </w:t>
      </w:r>
      <w:r>
        <w:rPr>
          <w:rFonts w:ascii="Times New Roman" w:eastAsia="Times New Roman" w:hAnsi="Times New Roman" w:cs="Times New Roman"/>
          <w:sz w:val="20"/>
          <w:szCs w:val="20"/>
        </w:rPr>
        <w:t xml:space="preserve">deverá ser apresentado 02 (duas) referências de preços (ambas de acordo com a prática de mercado), em 1 (uma) das formas de comprovação de custos elencadas abaixo: </w:t>
      </w:r>
    </w:p>
    <w:p w14:paraId="1E5A71E5"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 – </w:t>
      </w:r>
      <w:r>
        <w:rPr>
          <w:rFonts w:ascii="Times New Roman" w:eastAsia="Times New Roman" w:hAnsi="Times New Roman" w:cs="Times New Roman"/>
          <w:sz w:val="20"/>
          <w:szCs w:val="20"/>
        </w:rPr>
        <w:t>Contratações similares ou parcerias da mesma natureza concluídas nos últimos três anos ou em execução.</w:t>
      </w:r>
      <w:r>
        <w:rPr>
          <w:rFonts w:ascii="Times New Roman" w:eastAsia="Times New Roman" w:hAnsi="Times New Roman" w:cs="Times New Roman"/>
          <w:b/>
          <w:sz w:val="20"/>
          <w:szCs w:val="20"/>
        </w:rPr>
        <w:t xml:space="preserve"> </w:t>
      </w:r>
    </w:p>
    <w:p w14:paraId="0ED01A96"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II – </w:t>
      </w:r>
      <w:r>
        <w:rPr>
          <w:rFonts w:ascii="Times New Roman" w:eastAsia="Times New Roman" w:hAnsi="Times New Roman" w:cs="Times New Roman"/>
          <w:sz w:val="20"/>
          <w:szCs w:val="20"/>
        </w:rPr>
        <w:t xml:space="preserve">Atas de registro de preços em vigência adotados por órgãos públicos vinculados à União, Estados, Distrito Federal ou Municípios da região onde será executado o objeto da parceria ou da sede da organização. </w:t>
      </w:r>
    </w:p>
    <w:p w14:paraId="6098AF67"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III – </w:t>
      </w:r>
      <w:r>
        <w:rPr>
          <w:rFonts w:ascii="Times New Roman" w:eastAsia="Times New Roman" w:hAnsi="Times New Roman" w:cs="Times New Roman"/>
          <w:sz w:val="20"/>
          <w:szCs w:val="20"/>
        </w:rPr>
        <w:t xml:space="preserve">Tabelas de preços de associações profissionais. </w:t>
      </w:r>
    </w:p>
    <w:p w14:paraId="5C8DE41F"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IV – </w:t>
      </w:r>
      <w:r>
        <w:rPr>
          <w:rFonts w:ascii="Times New Roman" w:eastAsia="Times New Roman" w:hAnsi="Times New Roman" w:cs="Times New Roman"/>
          <w:sz w:val="20"/>
          <w:szCs w:val="20"/>
        </w:rPr>
        <w:t xml:space="preserve">Tabelas de preços referenciais da política pública setorial publicada pelo órgão ou entidade da administração pública municipal. </w:t>
      </w:r>
    </w:p>
    <w:p w14:paraId="4A757412" w14:textId="77777777" w:rsidR="001B767A" w:rsidRDefault="00EC4D80">
      <w:pPr>
        <w:spacing w:before="100" w:after="100"/>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10.7.1.1. </w:t>
      </w:r>
      <w:r>
        <w:rPr>
          <w:rFonts w:ascii="Times New Roman" w:eastAsia="Times New Roman" w:hAnsi="Times New Roman" w:cs="Times New Roman"/>
          <w:sz w:val="20"/>
          <w:szCs w:val="20"/>
        </w:rPr>
        <w:t xml:space="preserve">Independentemente da forma escolhida, deverá haver no mínimo três referências de preços que demonstrem a compatibilidade dos custos com os preços praticados no mercado, salvo a impossibilidade de obtenção do número mínimo de três orçamentos, o mesmo deverá ser devidamente justificado. As contratações e aquisições previstas no plano de trabalho devem observar o preço médio praticado no mercado. </w:t>
      </w:r>
    </w:p>
    <w:p w14:paraId="16F2A537"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Leia-se:</w:t>
      </w:r>
    </w:p>
    <w:p w14:paraId="75B8FE2D"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a </w:t>
      </w:r>
      <w:r>
        <w:rPr>
          <w:rFonts w:ascii="Times New Roman" w:eastAsia="Times New Roman" w:hAnsi="Times New Roman" w:cs="Times New Roman"/>
          <w:b/>
          <w:sz w:val="20"/>
          <w:szCs w:val="20"/>
        </w:rPr>
        <w:t xml:space="preserve">comprovação dos valores apresentados pela OSC proponente em sua proposta </w:t>
      </w:r>
      <w:r>
        <w:rPr>
          <w:rFonts w:ascii="Times New Roman" w:eastAsia="Times New Roman" w:hAnsi="Times New Roman" w:cs="Times New Roman"/>
          <w:sz w:val="20"/>
          <w:szCs w:val="20"/>
        </w:rPr>
        <w:t xml:space="preserve">deverão ser apresentadas 03 (três) referências de preços (ambas de acordo com a prática de mercado), em 1 (uma) das formas de comprovação de custos elencadas abaixo: </w:t>
      </w:r>
    </w:p>
    <w:p w14:paraId="54FC0453"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 – </w:t>
      </w:r>
      <w:r>
        <w:rPr>
          <w:rFonts w:ascii="Times New Roman" w:eastAsia="Times New Roman" w:hAnsi="Times New Roman" w:cs="Times New Roman"/>
          <w:sz w:val="20"/>
          <w:szCs w:val="20"/>
        </w:rPr>
        <w:t>Contratações similares ou parcerias da mesma natureza concluídas nos últimos três anos ou em execução.</w:t>
      </w:r>
      <w:r>
        <w:rPr>
          <w:rFonts w:ascii="Times New Roman" w:eastAsia="Times New Roman" w:hAnsi="Times New Roman" w:cs="Times New Roman"/>
          <w:b/>
          <w:sz w:val="20"/>
          <w:szCs w:val="20"/>
        </w:rPr>
        <w:t xml:space="preserve"> </w:t>
      </w:r>
    </w:p>
    <w:p w14:paraId="633EC748"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II – </w:t>
      </w:r>
      <w:r>
        <w:rPr>
          <w:rFonts w:ascii="Times New Roman" w:eastAsia="Times New Roman" w:hAnsi="Times New Roman" w:cs="Times New Roman"/>
          <w:sz w:val="20"/>
          <w:szCs w:val="20"/>
        </w:rPr>
        <w:t xml:space="preserve">Atas de registro de preços em vigência adotados por órgãos públicos vinculados à União, Estados, Distrito Federal ou Municípios da região onde será executado o objeto da parceria ou da sede da organização. </w:t>
      </w:r>
    </w:p>
    <w:p w14:paraId="7A6FFAE8"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III – </w:t>
      </w:r>
      <w:r>
        <w:rPr>
          <w:rFonts w:ascii="Times New Roman" w:eastAsia="Times New Roman" w:hAnsi="Times New Roman" w:cs="Times New Roman"/>
          <w:sz w:val="20"/>
          <w:szCs w:val="20"/>
        </w:rPr>
        <w:t xml:space="preserve">Tabelas de preços de associações profissionais. </w:t>
      </w:r>
    </w:p>
    <w:p w14:paraId="34F989BF"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IV – </w:t>
      </w:r>
      <w:r>
        <w:rPr>
          <w:rFonts w:ascii="Times New Roman" w:eastAsia="Times New Roman" w:hAnsi="Times New Roman" w:cs="Times New Roman"/>
          <w:sz w:val="20"/>
          <w:szCs w:val="20"/>
        </w:rPr>
        <w:t xml:space="preserve">Tabelas de preços referenciais da política pública setorial publicada pelo órgão ou entidade da administração pública municipal. </w:t>
      </w:r>
    </w:p>
    <w:p w14:paraId="64263AC7"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V – </w:t>
      </w:r>
      <w:r>
        <w:rPr>
          <w:rFonts w:ascii="Times New Roman" w:eastAsia="Times New Roman" w:hAnsi="Times New Roman" w:cs="Times New Roman"/>
          <w:sz w:val="20"/>
          <w:szCs w:val="20"/>
        </w:rPr>
        <w:t xml:space="preserve">Pesquisa publicada em mídia especializada, desde que com data e hora de acesso. </w:t>
      </w:r>
    </w:p>
    <w:p w14:paraId="29A9CEB1"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VI – </w:t>
      </w:r>
      <w:r>
        <w:rPr>
          <w:rFonts w:ascii="Times New Roman" w:eastAsia="Times New Roman" w:hAnsi="Times New Roman" w:cs="Times New Roman"/>
          <w:sz w:val="20"/>
          <w:szCs w:val="20"/>
        </w:rPr>
        <w:t>Sítios eletrônicos especializados ou de domínio amplo, desde que com data e hora de acesso.</w:t>
      </w:r>
      <w:r>
        <w:rPr>
          <w:rFonts w:ascii="Times New Roman" w:eastAsia="Times New Roman" w:hAnsi="Times New Roman" w:cs="Times New Roman"/>
          <w:b/>
          <w:sz w:val="20"/>
          <w:szCs w:val="20"/>
        </w:rPr>
        <w:t xml:space="preserve"> </w:t>
      </w:r>
    </w:p>
    <w:p w14:paraId="726B3371"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VII – </w:t>
      </w:r>
      <w:r>
        <w:rPr>
          <w:rFonts w:ascii="Times New Roman" w:eastAsia="Times New Roman" w:hAnsi="Times New Roman" w:cs="Times New Roman"/>
          <w:sz w:val="20"/>
          <w:szCs w:val="20"/>
        </w:rPr>
        <w:t xml:space="preserve">Portal de Compras Governamentais – www.comprasgovernamentais.gov.br. </w:t>
      </w:r>
    </w:p>
    <w:p w14:paraId="15A15969"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VIII – </w:t>
      </w:r>
      <w:r>
        <w:rPr>
          <w:rFonts w:ascii="Times New Roman" w:eastAsia="Times New Roman" w:hAnsi="Times New Roman" w:cs="Times New Roman"/>
          <w:sz w:val="20"/>
          <w:szCs w:val="20"/>
        </w:rPr>
        <w:t xml:space="preserve">Cotações com até três fornecedores ou prestadores de serviço, que poderão ser realizadas por item ou agrupamento de elementos de despesas. </w:t>
      </w:r>
    </w:p>
    <w:p w14:paraId="69EFBF39" w14:textId="77777777" w:rsidR="001B767A" w:rsidRDefault="00EC4D80">
      <w:pPr>
        <w:spacing w:before="100" w:after="100"/>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10.7.1.1. </w:t>
      </w:r>
      <w:r>
        <w:rPr>
          <w:rFonts w:ascii="Times New Roman" w:eastAsia="Times New Roman" w:hAnsi="Times New Roman" w:cs="Times New Roman"/>
          <w:sz w:val="20"/>
          <w:szCs w:val="20"/>
        </w:rPr>
        <w:t>Independentemente da forma escolhida, deverá haver no mínimo três referências de preços que demonstrem a compatibilidade dos custos com os preços praticados no mercado, salvo a impossibilidade de obtenção do número mínimo de três orçamentos, o mesmo deverá ser devidamente justificado. As contratações e aquisições previstas no plano de trabalho devem observar o preço médio praticado no mercado.</w:t>
      </w:r>
    </w:p>
    <w:p w14:paraId="03533AF1" w14:textId="77777777" w:rsidR="001B767A" w:rsidRDefault="001B767A">
      <w:pPr>
        <w:ind w:left="0" w:hanging="2"/>
        <w:jc w:val="both"/>
        <w:rPr>
          <w:rFonts w:ascii="Times New Roman" w:eastAsia="Times New Roman" w:hAnsi="Times New Roman" w:cs="Times New Roman"/>
          <w:sz w:val="20"/>
          <w:szCs w:val="20"/>
        </w:rPr>
      </w:pPr>
    </w:p>
    <w:p w14:paraId="2B08EEF1" w14:textId="77777777" w:rsidR="001B767A" w:rsidRDefault="00EC4D80">
      <w:pPr>
        <w:ind w:left="0" w:hanging="2"/>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vii</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highlight w:val="white"/>
        </w:rPr>
        <w:t xml:space="preserve">No </w:t>
      </w:r>
      <w:r>
        <w:rPr>
          <w:rFonts w:ascii="Times New Roman" w:eastAsia="Times New Roman" w:hAnsi="Times New Roman" w:cs="Times New Roman"/>
          <w:b/>
          <w:sz w:val="20"/>
          <w:szCs w:val="20"/>
        </w:rPr>
        <w:t xml:space="preserve">item 21 DAS DISPOSIÇÕES GERAIS, </w:t>
      </w:r>
    </w:p>
    <w:p w14:paraId="10C360A8"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Onde se lê:</w:t>
      </w:r>
    </w:p>
    <w:p w14:paraId="325FD3FD"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21.1. COMISSÃO DE SELEÇÃO DE PROPOSTAS DA 9ª EDIÇÃO DA VIRADA CULTURAL DE BELO HORIZONTE 2024:</w:t>
      </w:r>
    </w:p>
    <w:p w14:paraId="21546B47"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 Marta Guerra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315.181-4, titular e Regina Celia da Silva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000.519-2, suplente;</w:t>
      </w:r>
    </w:p>
    <w:p w14:paraId="3EA43884"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 - Frederico de Almeida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xml:space="preserve">.: 804-3, titular e Daniel Helvécio Nunes Torres </w:t>
      </w:r>
      <w:proofErr w:type="spellStart"/>
      <w:r>
        <w:rPr>
          <w:rFonts w:ascii="Times New Roman" w:eastAsia="Times New Roman" w:hAnsi="Times New Roman" w:cs="Times New Roman"/>
          <w:sz w:val="20"/>
          <w:szCs w:val="20"/>
        </w:rPr>
        <w:t>Drumond</w:t>
      </w:r>
      <w:proofErr w:type="spellEnd"/>
      <w:r>
        <w:rPr>
          <w:rFonts w:ascii="Times New Roman" w:eastAsia="Times New Roman" w:hAnsi="Times New Roman" w:cs="Times New Roman"/>
          <w:sz w:val="20"/>
          <w:szCs w:val="20"/>
        </w:rPr>
        <w:t xml:space="preserve">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313.657-2, suplente;</w:t>
      </w:r>
    </w:p>
    <w:p w14:paraId="3D1902DC"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III - Tatiane Muniz dos Santos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000527-3, titular e Allan Ferreira Calisto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317.216-1, suplente;</w:t>
      </w:r>
    </w:p>
    <w:p w14:paraId="038F82C6"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Comissão de Seleção de Propostas será coordenada por Marta Guerra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315.181-4. Caso algum membro titular ou suplente fique impossibilitado de integrar as Comissões de Seleção de Propostas, serão designados membros substitutos, por portaria.</w:t>
      </w:r>
    </w:p>
    <w:p w14:paraId="33989908"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21.1.1. COMISSÃO DE MONITORAMENTO E AVALIAÇÃO</w:t>
      </w:r>
    </w:p>
    <w:p w14:paraId="00339D1B"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21.1.2. </w:t>
      </w:r>
      <w:r>
        <w:rPr>
          <w:rFonts w:ascii="Times New Roman" w:eastAsia="Times New Roman" w:hAnsi="Times New Roman" w:cs="Times New Roman"/>
          <w:sz w:val="20"/>
          <w:szCs w:val="20"/>
        </w:rPr>
        <w:t xml:space="preserve">A Comissão de Monitoramento e Avaliação será designada, em momento oportuno, por portaria. </w:t>
      </w:r>
    </w:p>
    <w:p w14:paraId="571EB613"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21.2. A COMISSÃO DE SELEÇÃO DE PROPOSTAS DA 10ª EDIÇÃO DA VIRADA CULTURAL DE BELO HORIZONTE 2025 será designada e publicada em momento oportuno.</w:t>
      </w:r>
    </w:p>
    <w:p w14:paraId="503BE99E"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21.2.1. </w:t>
      </w:r>
      <w:r>
        <w:rPr>
          <w:rFonts w:ascii="Times New Roman" w:eastAsia="Times New Roman" w:hAnsi="Times New Roman" w:cs="Times New Roman"/>
          <w:sz w:val="20"/>
          <w:szCs w:val="20"/>
        </w:rPr>
        <w:t xml:space="preserve"> A Comissão de Seleção será designada, em momento oportuno, por portaria. Caso algum membro titular ou suplente fique impossibilitado de integrar as Comissões de Seleção de Propostas, serão designados membros substitutos, por portaria. </w:t>
      </w:r>
    </w:p>
    <w:p w14:paraId="257E3E26"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Leia-se:</w:t>
      </w:r>
    </w:p>
    <w:p w14:paraId="7722F2EC"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21.1. COMISSÃO DE SELEÇÃO DE PROPOSTAS DA 9ª EDIÇÃO DA VIRADA CULTURAL DE BELO HORIZONTE 2024:</w:t>
      </w:r>
    </w:p>
    <w:p w14:paraId="12CE2DA4"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 Marta Guerra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315.181-4, titular e Regina Celia da Silva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000.519-2, suplente;</w:t>
      </w:r>
    </w:p>
    <w:p w14:paraId="0AB9A142"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 - Frederico de Almeida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xml:space="preserve">.: 804-3, titular e Daniel Helvécio Nunes Torres </w:t>
      </w:r>
      <w:proofErr w:type="spellStart"/>
      <w:r>
        <w:rPr>
          <w:rFonts w:ascii="Times New Roman" w:eastAsia="Times New Roman" w:hAnsi="Times New Roman" w:cs="Times New Roman"/>
          <w:sz w:val="20"/>
          <w:szCs w:val="20"/>
        </w:rPr>
        <w:t>Drumond</w:t>
      </w:r>
      <w:proofErr w:type="spellEnd"/>
      <w:r>
        <w:rPr>
          <w:rFonts w:ascii="Times New Roman" w:eastAsia="Times New Roman" w:hAnsi="Times New Roman" w:cs="Times New Roman"/>
          <w:sz w:val="20"/>
          <w:szCs w:val="20"/>
        </w:rPr>
        <w:t xml:space="preserve">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313.657-2, suplente;</w:t>
      </w:r>
    </w:p>
    <w:p w14:paraId="0E6C08B1"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III - Tatiane Muniz dos Santos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000527-3, titular e Allan Ferreira Calisto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317.216-1, suplente;</w:t>
      </w:r>
    </w:p>
    <w:p w14:paraId="61962C1D"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A Comissão de Seleção de Propostas será coordenada por Marta Guerra - BM/</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315.181-4. Caso algum membro titular ou suplente fique impossibilitado de integrar as Comissões de Seleção de Propostas, serão designados membros substitutos, por portaria.</w:t>
      </w:r>
    </w:p>
    <w:p w14:paraId="59274F1E" w14:textId="77777777" w:rsidR="001B767A" w:rsidRDefault="00EC4D80">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 A comissão de Seleção de Propostas da 10ª Edição da Virada Cultural de Belo Horizonte será constituída pelos seguintes servidores e servidoras:</w:t>
      </w:r>
    </w:p>
    <w:p w14:paraId="54131208" w14:textId="77777777" w:rsidR="001B767A" w:rsidRDefault="00EC4D80">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w:t>
      </w:r>
      <w:proofErr w:type="gramStart"/>
      <w:r>
        <w:rPr>
          <w:rFonts w:ascii="Times New Roman" w:eastAsia="Times New Roman" w:hAnsi="Times New Roman" w:cs="Times New Roman"/>
          <w:sz w:val="20"/>
          <w:szCs w:val="20"/>
        </w:rPr>
        <w:t>-  Marta</w:t>
      </w:r>
      <w:proofErr w:type="gramEnd"/>
      <w:r>
        <w:rPr>
          <w:rFonts w:ascii="Times New Roman" w:eastAsia="Times New Roman" w:hAnsi="Times New Roman" w:cs="Times New Roman"/>
          <w:sz w:val="20"/>
          <w:szCs w:val="20"/>
        </w:rPr>
        <w:t xml:space="preserve"> Guerra, BM.315.181-4, titular; e, Filipe Freitas Castro de Melo Carvalho - BM.: 311785-3, suplente; </w:t>
      </w:r>
    </w:p>
    <w:p w14:paraId="7AA79877" w14:textId="77777777" w:rsidR="001B767A" w:rsidRDefault="00EC4D80">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II - </w:t>
      </w:r>
      <w:proofErr w:type="spellStart"/>
      <w:r>
        <w:rPr>
          <w:rFonts w:ascii="Times New Roman" w:eastAsia="Times New Roman" w:hAnsi="Times New Roman" w:cs="Times New Roman"/>
          <w:sz w:val="20"/>
          <w:szCs w:val="20"/>
        </w:rPr>
        <w:t>Izabela</w:t>
      </w:r>
      <w:proofErr w:type="spellEnd"/>
      <w:r>
        <w:rPr>
          <w:rFonts w:ascii="Times New Roman" w:eastAsia="Times New Roman" w:hAnsi="Times New Roman" w:cs="Times New Roman"/>
          <w:sz w:val="20"/>
          <w:szCs w:val="20"/>
        </w:rPr>
        <w:t xml:space="preserve"> Tavares Guerra, Matr.:00528-1, titular; e Maria Carolina Ladeira, BM.:  115.879-X, suplente.</w:t>
      </w:r>
    </w:p>
    <w:p w14:paraId="0A910C16" w14:textId="77777777" w:rsidR="001B767A" w:rsidRDefault="00EC4D80">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III - Regina Célia da Silva, </w:t>
      </w:r>
      <w:proofErr w:type="spellStart"/>
      <w:r>
        <w:rPr>
          <w:rFonts w:ascii="Times New Roman" w:eastAsia="Times New Roman" w:hAnsi="Times New Roman" w:cs="Times New Roman"/>
          <w:sz w:val="20"/>
          <w:szCs w:val="20"/>
        </w:rPr>
        <w:t>Matr</w:t>
      </w:r>
      <w:proofErr w:type="spellEnd"/>
      <w:r>
        <w:rPr>
          <w:rFonts w:ascii="Times New Roman" w:eastAsia="Times New Roman" w:hAnsi="Times New Roman" w:cs="Times New Roman"/>
          <w:sz w:val="20"/>
          <w:szCs w:val="20"/>
        </w:rPr>
        <w:t xml:space="preserve">.: 000519-2, titular; e, </w:t>
      </w:r>
      <w:proofErr w:type="spellStart"/>
      <w:r>
        <w:rPr>
          <w:rFonts w:ascii="Times New Roman" w:eastAsia="Times New Roman" w:hAnsi="Times New Roman" w:cs="Times New Roman"/>
          <w:sz w:val="20"/>
          <w:szCs w:val="20"/>
        </w:rPr>
        <w:t>Denilson</w:t>
      </w:r>
      <w:proofErr w:type="spellEnd"/>
      <w:r>
        <w:rPr>
          <w:rFonts w:ascii="Times New Roman" w:eastAsia="Times New Roman" w:hAnsi="Times New Roman" w:cs="Times New Roman"/>
          <w:sz w:val="20"/>
          <w:szCs w:val="20"/>
        </w:rPr>
        <w:t xml:space="preserve"> Gomes Cardoso, BM: 322811-6, suplente. </w:t>
      </w:r>
      <w:r>
        <w:rPr>
          <w:color w:val="242400"/>
        </w:rPr>
        <w:t xml:space="preserve"> </w:t>
      </w:r>
    </w:p>
    <w:p w14:paraId="79896F65"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21.2.1.</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Será facultado à Comissão de Seleção de Propostas, promover, em qualquer fase, diligências destinadas a esclarecer ou </w:t>
      </w:r>
      <w:r>
        <w:rPr>
          <w:rFonts w:ascii="Times New Roman" w:eastAsia="Times New Roman" w:hAnsi="Times New Roman" w:cs="Times New Roman"/>
          <w:b/>
          <w:sz w:val="20"/>
          <w:szCs w:val="20"/>
        </w:rPr>
        <w:t>complementar a instrução</w:t>
      </w:r>
      <w:r>
        <w:rPr>
          <w:rFonts w:ascii="Times New Roman" w:eastAsia="Times New Roman" w:hAnsi="Times New Roman" w:cs="Times New Roman"/>
          <w:sz w:val="20"/>
          <w:szCs w:val="20"/>
        </w:rPr>
        <w:t xml:space="preserve"> do presente Chamamento Público e a aferição dos critérios de habilitação de cada Organização da Sociedade Civil, bem como solicitar aos órgãos competentes a elaboração de pareceres técnicos destinados a fundamentar suas decisões, </w:t>
      </w:r>
      <w:r>
        <w:rPr>
          <w:rFonts w:ascii="Times New Roman" w:eastAsia="Times New Roman" w:hAnsi="Times New Roman" w:cs="Times New Roman"/>
          <w:b/>
          <w:sz w:val="20"/>
          <w:szCs w:val="20"/>
        </w:rPr>
        <w:t>guardadas as vedações do item 10.5</w:t>
      </w:r>
      <w:r>
        <w:rPr>
          <w:rFonts w:ascii="Times New Roman" w:eastAsia="Times New Roman" w:hAnsi="Times New Roman" w:cs="Times New Roman"/>
          <w:sz w:val="20"/>
          <w:szCs w:val="20"/>
        </w:rPr>
        <w:t>.</w:t>
      </w:r>
    </w:p>
    <w:p w14:paraId="288379DE"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21.3. COMISSÃO DE MONITORAMENTO E AVALIAÇÃO</w:t>
      </w:r>
    </w:p>
    <w:p w14:paraId="56E6FD02"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Comissão de Monitoramento e Avaliação da 10ª edição da Virada Cultural de BH será designada, em momento oportuno, por portaria. </w:t>
      </w:r>
    </w:p>
    <w:p w14:paraId="76851AE0" w14:textId="77777777" w:rsidR="001B767A" w:rsidRDefault="001B767A">
      <w:pPr>
        <w:ind w:left="0" w:hanging="2"/>
        <w:jc w:val="both"/>
        <w:rPr>
          <w:rFonts w:ascii="Times New Roman" w:eastAsia="Times New Roman" w:hAnsi="Times New Roman" w:cs="Times New Roman"/>
          <w:b/>
          <w:sz w:val="20"/>
          <w:szCs w:val="20"/>
          <w:highlight w:val="white"/>
        </w:rPr>
      </w:pPr>
    </w:p>
    <w:p w14:paraId="6B650BD1" w14:textId="77777777" w:rsidR="001B767A" w:rsidRDefault="001B767A">
      <w:pPr>
        <w:ind w:left="0" w:hanging="2"/>
        <w:jc w:val="both"/>
        <w:rPr>
          <w:rFonts w:ascii="Times New Roman" w:eastAsia="Times New Roman" w:hAnsi="Times New Roman" w:cs="Times New Roman"/>
          <w:b/>
          <w:sz w:val="20"/>
          <w:szCs w:val="20"/>
          <w:highlight w:val="white"/>
        </w:rPr>
      </w:pPr>
    </w:p>
    <w:p w14:paraId="1E83484A" w14:textId="77777777" w:rsidR="001B767A" w:rsidRDefault="00EC4D80">
      <w:pPr>
        <w:ind w:left="0" w:hanging="2"/>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viii</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highlight w:val="white"/>
        </w:rPr>
        <w:t xml:space="preserve">No Anexo I do edital - ROTEIRO PARA ELABORAÇÃO DA PROPOSTA -; </w:t>
      </w:r>
      <w:r>
        <w:rPr>
          <w:rFonts w:ascii="Times New Roman" w:eastAsia="Times New Roman" w:hAnsi="Times New Roman" w:cs="Times New Roman"/>
          <w:b/>
          <w:sz w:val="20"/>
          <w:szCs w:val="20"/>
        </w:rPr>
        <w:t>ELEMENTOS MÍNIMOS PARA A DESCRIÇÃO DA PROPOSTA PARTE III – PLANEJAMENTO FINANCEIRO E ESTIMATIVA DE CUSTOS; ITEM 2 – PLANEJAMENTO FINANCEIRO, no subitem “PREVISÃO DE RECEITAS E DESPESAS”</w:t>
      </w:r>
      <w:r>
        <w:rPr>
          <w:rFonts w:ascii="Times New Roman" w:eastAsia="Times New Roman" w:hAnsi="Times New Roman" w:cs="Times New Roman"/>
          <w:b/>
          <w:sz w:val="20"/>
          <w:szCs w:val="20"/>
          <w:highlight w:val="white"/>
        </w:rPr>
        <w:t>:</w:t>
      </w:r>
    </w:p>
    <w:p w14:paraId="2D78FFFF" w14:textId="77777777" w:rsidR="001B767A" w:rsidRDefault="00EC4D80">
      <w:pPr>
        <w:ind w:left="0" w:hanging="2"/>
        <w:jc w:val="both"/>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A. Onde se lê:</w:t>
      </w:r>
    </w:p>
    <w:p w14:paraId="1601AD8F"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highlight w:val="white"/>
        </w:rPr>
        <w:t>- Valor previsto para a execução da 10ª Virada Cultural de Belo Horizonte 2025: R$2.201.407,00 (dois milhões duzentos e um mil, quatrocentos e sete reais), a depender da aprovação da Lei Orçamentária Anual 2025; </w:t>
      </w:r>
    </w:p>
    <w:p w14:paraId="596C0B35"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highlight w:val="white"/>
        </w:rPr>
        <w:t>- Valor total a ser repassado pelo Município: R$4.601.407,00 (quatro milhões, seiscentos e um mil, quatrocentos e sete reais), em empenhos distintos, respectivamente em 2024 e 2025. </w:t>
      </w:r>
    </w:p>
    <w:p w14:paraId="20F6DC4D"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Leia-se</w:t>
      </w:r>
    </w:p>
    <w:p w14:paraId="396E4CF7"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highlight w:val="white"/>
        </w:rPr>
        <w:t xml:space="preserve">- Valor previsto para a execução da </w:t>
      </w:r>
      <w:r>
        <w:rPr>
          <w:rFonts w:ascii="Times New Roman" w:eastAsia="Times New Roman" w:hAnsi="Times New Roman" w:cs="Times New Roman"/>
          <w:b/>
          <w:sz w:val="20"/>
          <w:szCs w:val="20"/>
          <w:highlight w:val="white"/>
        </w:rPr>
        <w:t>10ª Virada Cultural de Belo Horizonte 2025</w:t>
      </w:r>
      <w:r>
        <w:rPr>
          <w:rFonts w:ascii="Times New Roman" w:eastAsia="Times New Roman" w:hAnsi="Times New Roman" w:cs="Times New Roman"/>
          <w:sz w:val="20"/>
          <w:szCs w:val="20"/>
          <w:highlight w:val="white"/>
        </w:rPr>
        <w:t>: R$2.500.000,00 (dois milhões e quinhentos mil reais); </w:t>
      </w:r>
    </w:p>
    <w:p w14:paraId="578B7526"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sz w:val="20"/>
          <w:szCs w:val="20"/>
          <w:highlight w:val="white"/>
        </w:rPr>
        <w:t>- Valor total a ser repassado pelo Município: R$4.900.000,00 (quatro milhões e novecentos mil reais), em empenhos distintos, respectivamente em 2024 e 2025. </w:t>
      </w:r>
    </w:p>
    <w:p w14:paraId="1C1A0F58" w14:textId="77777777" w:rsidR="001B767A" w:rsidRDefault="001B767A">
      <w:pPr>
        <w:ind w:left="0" w:hanging="2"/>
        <w:jc w:val="both"/>
        <w:rPr>
          <w:rFonts w:ascii="Times New Roman" w:eastAsia="Times New Roman" w:hAnsi="Times New Roman" w:cs="Times New Roman"/>
          <w:sz w:val="20"/>
          <w:szCs w:val="20"/>
        </w:rPr>
      </w:pPr>
    </w:p>
    <w:p w14:paraId="2D183A6F" w14:textId="77777777" w:rsidR="001B767A" w:rsidRPr="00927DBF" w:rsidRDefault="00EC4D80">
      <w:pPr>
        <w:ind w:left="0" w:hanging="2"/>
        <w:jc w:val="both"/>
        <w:rPr>
          <w:rFonts w:ascii="Times New Roman" w:eastAsia="Times New Roman" w:hAnsi="Times New Roman" w:cs="Times New Roman"/>
          <w:b/>
          <w:sz w:val="20"/>
          <w:szCs w:val="20"/>
        </w:rPr>
      </w:pPr>
      <w:proofErr w:type="spellStart"/>
      <w:r w:rsidRPr="00927DBF">
        <w:rPr>
          <w:rFonts w:ascii="Times New Roman" w:eastAsia="Times New Roman" w:hAnsi="Times New Roman" w:cs="Times New Roman"/>
          <w:b/>
          <w:sz w:val="20"/>
          <w:szCs w:val="20"/>
        </w:rPr>
        <w:t>ix</w:t>
      </w:r>
      <w:proofErr w:type="spellEnd"/>
      <w:r w:rsidRPr="00927DBF">
        <w:rPr>
          <w:rFonts w:ascii="Times New Roman" w:eastAsia="Times New Roman" w:hAnsi="Times New Roman" w:cs="Times New Roman"/>
          <w:b/>
          <w:sz w:val="20"/>
          <w:szCs w:val="20"/>
        </w:rPr>
        <w:t>. No Anexo II - PROPOSTA, o item 5. A DESCRIÇÃO DA REALIDADE E JUSTIFICATIVA DO PROJETO, bem como o item 3. DESCRIÇÃO DA REALIDADE E JUSTIFICATIVA DO PROJETO DO ANEXO III - PLANO DE TRABALHO passam a constar com a seguinte redação:</w:t>
      </w:r>
    </w:p>
    <w:p w14:paraId="15867D9B" w14:textId="77777777" w:rsidR="001B767A" w:rsidRPr="00927DBF" w:rsidRDefault="00EC4D80">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 xml:space="preserve">Durante a 9ª edição da Virada Cultural, em 2024, o hipercentro de Belo Horizonte foi palco de 231 atrações culturais durante mais de 24h, reunindo um público variado, de mais de 315 mil pessoas, de diversas faixas etárias ocupando as ruas e praças, celebrando a arte, a cultura e fomentando a economia da cidade. Com o tema “Belo Horizonte rima com VC”, o público foi convidado a viver a cidade e  participar à sua maneira das atrações que envolveram música, cinema, teatro, exposições, intervenções, instalações e esportes urbanos espalhados entre cinco espaços: Praça Raul Soares, Praça Rui Barbosa, Parque Municipal Américo </w:t>
      </w:r>
      <w:proofErr w:type="spellStart"/>
      <w:r w:rsidRPr="00927DBF">
        <w:rPr>
          <w:rFonts w:ascii="Times New Roman" w:eastAsia="Times New Roman" w:hAnsi="Times New Roman" w:cs="Times New Roman"/>
          <w:sz w:val="20"/>
          <w:szCs w:val="20"/>
        </w:rPr>
        <w:t>Renné</w:t>
      </w:r>
      <w:proofErr w:type="spellEnd"/>
      <w:r w:rsidRPr="00927DBF">
        <w:rPr>
          <w:rFonts w:ascii="Times New Roman" w:eastAsia="Times New Roman" w:hAnsi="Times New Roman" w:cs="Times New Roman"/>
          <w:sz w:val="20"/>
          <w:szCs w:val="20"/>
        </w:rPr>
        <w:t xml:space="preserve"> Giannetti, Viaduto Santa Tereza e Praça Sete, além das atividades no Percurso entre eles e dos espaços das programações associadas e parceiras. </w:t>
      </w:r>
    </w:p>
    <w:p w14:paraId="638D6F82" w14:textId="77777777" w:rsidR="001B767A" w:rsidRPr="00927DBF" w:rsidRDefault="001B767A">
      <w:pPr>
        <w:ind w:left="0" w:hanging="2"/>
        <w:jc w:val="both"/>
        <w:rPr>
          <w:rFonts w:ascii="Times New Roman" w:eastAsia="Times New Roman" w:hAnsi="Times New Roman" w:cs="Times New Roman"/>
          <w:b/>
          <w:sz w:val="20"/>
          <w:szCs w:val="20"/>
        </w:rPr>
      </w:pPr>
    </w:p>
    <w:p w14:paraId="43FBC404" w14:textId="77777777" w:rsidR="001B767A" w:rsidRPr="00927DBF" w:rsidRDefault="001B767A">
      <w:pPr>
        <w:ind w:left="0" w:hanging="2"/>
        <w:jc w:val="both"/>
        <w:rPr>
          <w:rFonts w:ascii="Times New Roman" w:eastAsia="Times New Roman" w:hAnsi="Times New Roman" w:cs="Times New Roman"/>
          <w:b/>
          <w:sz w:val="20"/>
          <w:szCs w:val="20"/>
        </w:rPr>
      </w:pPr>
    </w:p>
    <w:p w14:paraId="2C9B959C" w14:textId="77777777" w:rsidR="001B767A" w:rsidRPr="00927DBF" w:rsidRDefault="00EC4D80">
      <w:pPr>
        <w:ind w:left="0" w:hanging="2"/>
        <w:jc w:val="both"/>
        <w:rPr>
          <w:rFonts w:ascii="Times New Roman" w:eastAsia="Times New Roman" w:hAnsi="Times New Roman" w:cs="Times New Roman"/>
          <w:b/>
          <w:sz w:val="20"/>
          <w:szCs w:val="20"/>
        </w:rPr>
      </w:pPr>
      <w:r w:rsidRPr="00927DBF">
        <w:rPr>
          <w:rFonts w:ascii="Times New Roman" w:eastAsia="Times New Roman" w:hAnsi="Times New Roman" w:cs="Times New Roman"/>
          <w:b/>
          <w:sz w:val="20"/>
          <w:szCs w:val="20"/>
        </w:rPr>
        <w:t>x. No Anexo II do edital, PROPOSTA (Modelo), item 9. PRAZO DE EXECUÇÃO</w:t>
      </w:r>
    </w:p>
    <w:p w14:paraId="67C75870" w14:textId="77777777" w:rsidR="001B767A" w:rsidRPr="00927DBF" w:rsidRDefault="00EC4D80">
      <w:pPr>
        <w:ind w:left="0" w:hanging="2"/>
        <w:jc w:val="both"/>
        <w:rPr>
          <w:rFonts w:ascii="Times New Roman" w:eastAsia="Times New Roman" w:hAnsi="Times New Roman" w:cs="Times New Roman"/>
          <w:b/>
          <w:sz w:val="20"/>
          <w:szCs w:val="20"/>
        </w:rPr>
      </w:pPr>
      <w:r w:rsidRPr="00927DBF">
        <w:rPr>
          <w:rFonts w:ascii="Times New Roman" w:eastAsia="Times New Roman" w:hAnsi="Times New Roman" w:cs="Times New Roman"/>
          <w:b/>
          <w:sz w:val="20"/>
          <w:szCs w:val="20"/>
        </w:rPr>
        <w:t>Onde se lê:</w:t>
      </w:r>
    </w:p>
    <w:p w14:paraId="6598A790" w14:textId="77777777" w:rsidR="001B767A" w:rsidRPr="00927DBF" w:rsidRDefault="00EC4D80">
      <w:pPr>
        <w:widowControl/>
        <w:spacing w:before="60" w:after="60"/>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Estabelecer o prazo de execução das ações a serem realizadas no âmbito da proposta (menor ou coincidente com o prazo de vigência da parceria, uma vez que o prazo de vigência também acoberta atos de preparação e de encerramento das ações realizadas). 8 meses.</w:t>
      </w:r>
    </w:p>
    <w:p w14:paraId="2C612837" w14:textId="77777777" w:rsidR="001B767A" w:rsidRPr="00927DBF" w:rsidRDefault="00EC4D80">
      <w:pPr>
        <w:widowControl/>
        <w:spacing w:before="60" w:after="60"/>
        <w:ind w:left="0" w:hanging="2"/>
        <w:jc w:val="both"/>
        <w:rPr>
          <w:rFonts w:ascii="Times New Roman" w:eastAsia="Times New Roman" w:hAnsi="Times New Roman" w:cs="Times New Roman"/>
          <w:b/>
          <w:sz w:val="20"/>
          <w:szCs w:val="20"/>
        </w:rPr>
      </w:pPr>
      <w:r w:rsidRPr="00927DBF">
        <w:rPr>
          <w:rFonts w:ascii="Times New Roman" w:eastAsia="Times New Roman" w:hAnsi="Times New Roman" w:cs="Times New Roman"/>
          <w:b/>
          <w:sz w:val="20"/>
          <w:szCs w:val="20"/>
        </w:rPr>
        <w:t>Leia-se:</w:t>
      </w:r>
    </w:p>
    <w:p w14:paraId="265084D9" w14:textId="77777777" w:rsidR="001B767A" w:rsidRPr="00927DBF" w:rsidRDefault="00EC4D80">
      <w:pPr>
        <w:widowControl/>
        <w:spacing w:before="60" w:after="60"/>
        <w:ind w:left="0" w:hanging="2"/>
        <w:jc w:val="both"/>
        <w:rPr>
          <w:rFonts w:ascii="Times New Roman" w:eastAsia="Times New Roman" w:hAnsi="Times New Roman" w:cs="Times New Roman"/>
          <w:b/>
          <w:sz w:val="20"/>
          <w:szCs w:val="20"/>
        </w:rPr>
      </w:pPr>
      <w:r w:rsidRPr="00927DBF">
        <w:rPr>
          <w:rFonts w:ascii="Times New Roman" w:eastAsia="Times New Roman" w:hAnsi="Times New Roman" w:cs="Times New Roman"/>
          <w:sz w:val="20"/>
          <w:szCs w:val="20"/>
        </w:rPr>
        <w:t xml:space="preserve">Estabelecer o prazo de execução das ações a serem realizadas no âmbito da proposta (menor ou coincidente com o prazo de vigência da parceria, uma vez que o prazo de vigência também acoberta atos de preparação e de encerramento das ações realizadas). </w:t>
      </w:r>
      <w:r w:rsidRPr="00927DBF">
        <w:rPr>
          <w:rFonts w:ascii="Times New Roman" w:eastAsia="Times New Roman" w:hAnsi="Times New Roman" w:cs="Times New Roman"/>
          <w:b/>
          <w:sz w:val="20"/>
          <w:szCs w:val="20"/>
        </w:rPr>
        <w:t>6 (seis) meses.</w:t>
      </w:r>
    </w:p>
    <w:p w14:paraId="7A053B84" w14:textId="77777777" w:rsidR="001B767A" w:rsidRPr="00927DBF" w:rsidRDefault="001B767A">
      <w:pPr>
        <w:widowControl/>
        <w:spacing w:before="60" w:after="60"/>
        <w:ind w:left="0" w:hanging="2"/>
        <w:jc w:val="both"/>
        <w:rPr>
          <w:rFonts w:ascii="Times New Roman" w:eastAsia="Times New Roman" w:hAnsi="Times New Roman" w:cs="Times New Roman"/>
          <w:b/>
          <w:sz w:val="20"/>
          <w:szCs w:val="20"/>
        </w:rPr>
      </w:pPr>
    </w:p>
    <w:p w14:paraId="35C92A1E" w14:textId="77777777" w:rsidR="001B767A" w:rsidRPr="00927DBF" w:rsidRDefault="001B767A">
      <w:pPr>
        <w:widowControl/>
        <w:spacing w:before="60" w:after="60"/>
        <w:ind w:left="0" w:hanging="2"/>
        <w:jc w:val="both"/>
        <w:rPr>
          <w:rFonts w:ascii="Times New Roman" w:eastAsia="Times New Roman" w:hAnsi="Times New Roman" w:cs="Times New Roman"/>
          <w:b/>
          <w:sz w:val="20"/>
          <w:szCs w:val="20"/>
        </w:rPr>
      </w:pPr>
    </w:p>
    <w:p w14:paraId="0161A1C9" w14:textId="77777777" w:rsidR="001B767A" w:rsidRPr="00927DBF" w:rsidRDefault="00EC4D80">
      <w:pPr>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b/>
          <w:sz w:val="20"/>
          <w:szCs w:val="20"/>
        </w:rPr>
        <w:t xml:space="preserve">xi. No Anexo II do edital, PROPOSTA (Modelo), item 10. PREVISÃO DE RECEITAS E DESPESAS, no subitem </w:t>
      </w:r>
      <w:r w:rsidRPr="00927DBF">
        <w:rPr>
          <w:rFonts w:ascii="Times New Roman" w:eastAsia="Times New Roman" w:hAnsi="Times New Roman" w:cs="Times New Roman"/>
          <w:b/>
          <w:sz w:val="20"/>
          <w:szCs w:val="20"/>
        </w:rPr>
        <w:lastRenderedPageBreak/>
        <w:t>10.1. Previsão de Receitas:</w:t>
      </w:r>
    </w:p>
    <w:p w14:paraId="19884A2E" w14:textId="77777777" w:rsidR="001B767A" w:rsidRPr="00927DBF" w:rsidRDefault="00EC4D80">
      <w:pPr>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b/>
          <w:sz w:val="20"/>
          <w:szCs w:val="20"/>
        </w:rPr>
        <w:t>Onde se lê:</w:t>
      </w:r>
    </w:p>
    <w:p w14:paraId="1C9275FF" w14:textId="77777777" w:rsidR="001B767A" w:rsidRPr="00927DBF" w:rsidRDefault="00EC4D80">
      <w:pPr>
        <w:spacing w:before="60" w:after="60"/>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 Valor previsto para a execução da 10ª Virada Cultural de Belo Horizonte 2025: R$2.201.407,00 (dois milhões duzentos e um mil, quatrocentos e sete reais), a depender da aprovação da Lei Orçamentária Anual 2025; </w:t>
      </w:r>
    </w:p>
    <w:p w14:paraId="39C567DB" w14:textId="77777777" w:rsidR="001B767A" w:rsidRPr="00927DBF" w:rsidRDefault="00EC4D80">
      <w:pPr>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b/>
          <w:sz w:val="20"/>
          <w:szCs w:val="20"/>
        </w:rPr>
        <w:t>Leia-se:</w:t>
      </w:r>
    </w:p>
    <w:p w14:paraId="652DFED5" w14:textId="77777777" w:rsidR="001B767A" w:rsidRPr="00927DBF" w:rsidRDefault="00EC4D80">
      <w:pPr>
        <w:spacing w:before="60" w:after="60"/>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 xml:space="preserve">- Valor previsto para a execução da 10ª Virada Cultural de Belo Horizonte 2025: </w:t>
      </w:r>
      <w:r w:rsidRPr="00927DBF">
        <w:rPr>
          <w:rFonts w:ascii="Times New Roman" w:eastAsia="Times New Roman" w:hAnsi="Times New Roman" w:cs="Times New Roman"/>
          <w:b/>
          <w:sz w:val="20"/>
          <w:szCs w:val="20"/>
        </w:rPr>
        <w:t>R$2.500.000,00 (dois milhões e quinhentos mil reais).</w:t>
      </w:r>
      <w:r w:rsidRPr="00927DBF">
        <w:rPr>
          <w:rFonts w:ascii="Times New Roman" w:eastAsia="Times New Roman" w:hAnsi="Times New Roman" w:cs="Times New Roman"/>
          <w:sz w:val="20"/>
          <w:szCs w:val="20"/>
        </w:rPr>
        <w:t> </w:t>
      </w:r>
    </w:p>
    <w:p w14:paraId="30961170" w14:textId="77777777" w:rsidR="001B767A" w:rsidRPr="00927DBF" w:rsidRDefault="001B767A">
      <w:pPr>
        <w:ind w:left="0" w:hanging="2"/>
        <w:jc w:val="both"/>
        <w:rPr>
          <w:rFonts w:ascii="Times New Roman" w:eastAsia="Times New Roman" w:hAnsi="Times New Roman" w:cs="Times New Roman"/>
          <w:sz w:val="20"/>
          <w:szCs w:val="20"/>
        </w:rPr>
      </w:pPr>
    </w:p>
    <w:p w14:paraId="0827CA49" w14:textId="77777777" w:rsidR="001B767A" w:rsidRPr="00927DBF" w:rsidRDefault="001B767A">
      <w:pPr>
        <w:ind w:left="0" w:hanging="2"/>
        <w:jc w:val="both"/>
        <w:rPr>
          <w:rFonts w:ascii="Times New Roman" w:eastAsia="Times New Roman" w:hAnsi="Times New Roman" w:cs="Times New Roman"/>
          <w:sz w:val="20"/>
          <w:szCs w:val="20"/>
        </w:rPr>
      </w:pPr>
    </w:p>
    <w:p w14:paraId="798808C4" w14:textId="77777777" w:rsidR="001B767A" w:rsidRPr="00927DBF" w:rsidRDefault="00EC4D80">
      <w:pPr>
        <w:ind w:left="0" w:hanging="2"/>
        <w:jc w:val="both"/>
        <w:rPr>
          <w:rFonts w:ascii="Times New Roman" w:eastAsia="Times New Roman" w:hAnsi="Times New Roman" w:cs="Times New Roman"/>
          <w:sz w:val="20"/>
          <w:szCs w:val="20"/>
        </w:rPr>
      </w:pPr>
      <w:proofErr w:type="spellStart"/>
      <w:r w:rsidRPr="00927DBF">
        <w:rPr>
          <w:rFonts w:ascii="Times New Roman" w:eastAsia="Times New Roman" w:hAnsi="Times New Roman" w:cs="Times New Roman"/>
          <w:b/>
          <w:sz w:val="20"/>
          <w:szCs w:val="20"/>
        </w:rPr>
        <w:t>xii</w:t>
      </w:r>
      <w:proofErr w:type="spellEnd"/>
      <w:r w:rsidRPr="00927DBF">
        <w:rPr>
          <w:rFonts w:ascii="Times New Roman" w:eastAsia="Times New Roman" w:hAnsi="Times New Roman" w:cs="Times New Roman"/>
          <w:b/>
          <w:sz w:val="20"/>
          <w:szCs w:val="20"/>
        </w:rPr>
        <w:t>. No Anexo III do edital, PLANO DE TRABALHO, item 1. DADOS DO PROJETO:</w:t>
      </w:r>
    </w:p>
    <w:p w14:paraId="72C53485" w14:textId="77777777" w:rsidR="001B767A" w:rsidRPr="00927DBF" w:rsidRDefault="00EC4D80">
      <w:pPr>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b/>
          <w:sz w:val="20"/>
          <w:szCs w:val="20"/>
        </w:rPr>
        <w:t>Onde se lê:</w:t>
      </w:r>
    </w:p>
    <w:p w14:paraId="127CD31F" w14:textId="77777777" w:rsidR="001B767A" w:rsidRPr="00927DBF" w:rsidRDefault="00EC4D80">
      <w:pPr>
        <w:spacing w:before="60" w:after="60"/>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 Valor previsto para a execução da 10ª Virada Cultural de Belo Horizonte 2025: R$2.201.407,00 (dois milhões duzentos e um mil, quatrocentos e sete reais), a depender da aprovação da Lei Orçamentária Anual 2025; </w:t>
      </w:r>
    </w:p>
    <w:p w14:paraId="59BC0907" w14:textId="77777777" w:rsidR="001B767A" w:rsidRPr="00927DBF" w:rsidRDefault="00EC4D80">
      <w:pPr>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b/>
          <w:sz w:val="20"/>
          <w:szCs w:val="20"/>
        </w:rPr>
        <w:t>Leia-se:</w:t>
      </w:r>
    </w:p>
    <w:p w14:paraId="1DB3374C" w14:textId="77777777" w:rsidR="001B767A" w:rsidRPr="00927DBF" w:rsidRDefault="00EC4D80">
      <w:pPr>
        <w:spacing w:before="60" w:after="60"/>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 xml:space="preserve">- Valor previsto para a execução da 10ª Virada Cultural de Belo Horizonte 2025: </w:t>
      </w:r>
      <w:r w:rsidRPr="00927DBF">
        <w:rPr>
          <w:rFonts w:ascii="Times New Roman" w:eastAsia="Times New Roman" w:hAnsi="Times New Roman" w:cs="Times New Roman"/>
          <w:b/>
          <w:sz w:val="20"/>
          <w:szCs w:val="20"/>
        </w:rPr>
        <w:t>R$2.500.000,00 (dois milhões e quinhentos mil reais).</w:t>
      </w:r>
      <w:r w:rsidRPr="00927DBF">
        <w:rPr>
          <w:rFonts w:ascii="Times New Roman" w:eastAsia="Times New Roman" w:hAnsi="Times New Roman" w:cs="Times New Roman"/>
          <w:sz w:val="20"/>
          <w:szCs w:val="20"/>
        </w:rPr>
        <w:t> </w:t>
      </w:r>
    </w:p>
    <w:p w14:paraId="7F5D2BB5" w14:textId="77777777" w:rsidR="001B767A" w:rsidRPr="00927DBF" w:rsidRDefault="001B767A">
      <w:pPr>
        <w:ind w:left="0" w:hanging="2"/>
        <w:jc w:val="both"/>
        <w:rPr>
          <w:rFonts w:ascii="Times New Roman" w:eastAsia="Times New Roman" w:hAnsi="Times New Roman" w:cs="Times New Roman"/>
          <w:sz w:val="20"/>
          <w:szCs w:val="20"/>
        </w:rPr>
      </w:pPr>
    </w:p>
    <w:p w14:paraId="3462BB70" w14:textId="77777777" w:rsidR="001B767A" w:rsidRPr="00927DBF" w:rsidRDefault="001B767A">
      <w:pPr>
        <w:ind w:left="0" w:hanging="2"/>
        <w:jc w:val="both"/>
        <w:rPr>
          <w:rFonts w:ascii="Times New Roman" w:eastAsia="Times New Roman" w:hAnsi="Times New Roman" w:cs="Times New Roman"/>
          <w:sz w:val="20"/>
          <w:szCs w:val="20"/>
        </w:rPr>
      </w:pPr>
    </w:p>
    <w:p w14:paraId="4ABD74C1" w14:textId="77777777" w:rsidR="001B767A" w:rsidRPr="00927DBF" w:rsidRDefault="00EC4D80">
      <w:pPr>
        <w:ind w:left="0" w:hanging="2"/>
        <w:jc w:val="both"/>
        <w:rPr>
          <w:rFonts w:ascii="Times New Roman" w:eastAsia="Times New Roman" w:hAnsi="Times New Roman" w:cs="Times New Roman"/>
          <w:b/>
          <w:sz w:val="20"/>
          <w:szCs w:val="20"/>
        </w:rPr>
      </w:pPr>
      <w:proofErr w:type="spellStart"/>
      <w:r w:rsidRPr="00927DBF">
        <w:rPr>
          <w:rFonts w:ascii="Times New Roman" w:eastAsia="Times New Roman" w:hAnsi="Times New Roman" w:cs="Times New Roman"/>
          <w:b/>
          <w:sz w:val="20"/>
          <w:szCs w:val="20"/>
        </w:rPr>
        <w:t>xiii</w:t>
      </w:r>
      <w:proofErr w:type="spellEnd"/>
      <w:r w:rsidRPr="00927DBF">
        <w:rPr>
          <w:rFonts w:ascii="Times New Roman" w:eastAsia="Times New Roman" w:hAnsi="Times New Roman" w:cs="Times New Roman"/>
          <w:b/>
          <w:sz w:val="20"/>
          <w:szCs w:val="20"/>
        </w:rPr>
        <w:t>. No Anexo III do edital, o item 4. PÚBLICO ALVO passa a ser acrescido com o seguinte texto:</w:t>
      </w:r>
    </w:p>
    <w:p w14:paraId="6134EB60" w14:textId="77777777" w:rsidR="001B767A" w:rsidRPr="00927DBF" w:rsidRDefault="00EC4D80">
      <w:pPr>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 xml:space="preserve">A 9º edição da Virada Cultural de Belo Horizonte - Virada Cultural BH 2024, realizada nos dias 24 e 25 de agosto, trouxe para o hipercentro de Belo Horizonte 231 atrações culturais durante mais de 24h, e reuniu um público variado, de mais de 315 mil pessoas de diversas faixas etárias. Com o tema “Belo Horizonte rima com VC”, o público foi convidado a viver a cidade e participar à sua maneira das atrações que envolveram música, cinema, teatro, exposições, intervenções, instalações e esportes urbanos espalhados entre cinco espaços: Praça Raul Soares, Praça Rui Barbosa, Parque Municipal Américo </w:t>
      </w:r>
      <w:proofErr w:type="spellStart"/>
      <w:r w:rsidRPr="00927DBF">
        <w:rPr>
          <w:rFonts w:ascii="Times New Roman" w:eastAsia="Times New Roman" w:hAnsi="Times New Roman" w:cs="Times New Roman"/>
          <w:sz w:val="20"/>
          <w:szCs w:val="20"/>
        </w:rPr>
        <w:t>Renné</w:t>
      </w:r>
      <w:proofErr w:type="spellEnd"/>
      <w:r w:rsidRPr="00927DBF">
        <w:rPr>
          <w:rFonts w:ascii="Times New Roman" w:eastAsia="Times New Roman" w:hAnsi="Times New Roman" w:cs="Times New Roman"/>
          <w:sz w:val="20"/>
          <w:szCs w:val="20"/>
        </w:rPr>
        <w:t xml:space="preserve"> Giannetti, Viaduto Santa Tereza e Praça Sete, além das atividades no Percurso entre eles e dos espaços das programações associadas e parceiras.</w:t>
      </w:r>
    </w:p>
    <w:p w14:paraId="4636A4DB" w14:textId="77777777" w:rsidR="001B767A" w:rsidRPr="00927DBF" w:rsidRDefault="001B767A">
      <w:pPr>
        <w:ind w:left="0" w:hanging="2"/>
        <w:jc w:val="both"/>
        <w:rPr>
          <w:rFonts w:ascii="Times New Roman" w:eastAsia="Times New Roman" w:hAnsi="Times New Roman" w:cs="Times New Roman"/>
          <w:b/>
          <w:sz w:val="20"/>
          <w:szCs w:val="20"/>
        </w:rPr>
      </w:pPr>
    </w:p>
    <w:p w14:paraId="395F3D60" w14:textId="77777777" w:rsidR="001B767A" w:rsidRPr="00927DBF" w:rsidRDefault="001B767A">
      <w:pPr>
        <w:ind w:left="0" w:hanging="2"/>
        <w:jc w:val="both"/>
        <w:rPr>
          <w:rFonts w:ascii="Times New Roman" w:eastAsia="Times New Roman" w:hAnsi="Times New Roman" w:cs="Times New Roman"/>
          <w:b/>
          <w:sz w:val="20"/>
          <w:szCs w:val="20"/>
        </w:rPr>
      </w:pPr>
    </w:p>
    <w:p w14:paraId="11A99DDA" w14:textId="1A2772AD" w:rsidR="001B767A" w:rsidRPr="00927DBF" w:rsidRDefault="00EC4D80">
      <w:pPr>
        <w:ind w:left="0" w:hanging="2"/>
        <w:jc w:val="both"/>
        <w:rPr>
          <w:rFonts w:ascii="Times New Roman" w:eastAsia="Times New Roman" w:hAnsi="Times New Roman" w:cs="Times New Roman"/>
          <w:b/>
          <w:sz w:val="20"/>
          <w:szCs w:val="20"/>
        </w:rPr>
      </w:pPr>
      <w:proofErr w:type="spellStart"/>
      <w:r w:rsidRPr="00927DBF">
        <w:rPr>
          <w:rFonts w:ascii="Times New Roman" w:eastAsia="Times New Roman" w:hAnsi="Times New Roman" w:cs="Times New Roman"/>
          <w:b/>
          <w:sz w:val="20"/>
          <w:szCs w:val="20"/>
        </w:rPr>
        <w:t>x</w:t>
      </w:r>
      <w:r w:rsidR="00D47F1E">
        <w:rPr>
          <w:rFonts w:ascii="Times New Roman" w:eastAsia="Times New Roman" w:hAnsi="Times New Roman" w:cs="Times New Roman"/>
          <w:b/>
          <w:sz w:val="20"/>
          <w:szCs w:val="20"/>
        </w:rPr>
        <w:t>i</w:t>
      </w:r>
      <w:r w:rsidRPr="00927DBF">
        <w:rPr>
          <w:rFonts w:ascii="Times New Roman" w:eastAsia="Times New Roman" w:hAnsi="Times New Roman" w:cs="Times New Roman"/>
          <w:b/>
          <w:sz w:val="20"/>
          <w:szCs w:val="20"/>
        </w:rPr>
        <w:t>v</w:t>
      </w:r>
      <w:proofErr w:type="spellEnd"/>
      <w:r w:rsidRPr="00927DBF">
        <w:rPr>
          <w:rFonts w:ascii="Times New Roman" w:eastAsia="Times New Roman" w:hAnsi="Times New Roman" w:cs="Times New Roman"/>
          <w:b/>
          <w:sz w:val="20"/>
          <w:szCs w:val="20"/>
        </w:rPr>
        <w:t>. No Anexo III do edital, PLANO DE TRABALHO, item 10. PREVISÃO DE RECEITAS</w:t>
      </w:r>
    </w:p>
    <w:p w14:paraId="33197708" w14:textId="77777777" w:rsidR="001B767A" w:rsidRPr="00927DBF" w:rsidRDefault="00EC4D80">
      <w:pPr>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b/>
          <w:sz w:val="20"/>
          <w:szCs w:val="20"/>
        </w:rPr>
        <w:t>Onde se lê:</w:t>
      </w:r>
    </w:p>
    <w:p w14:paraId="72F848A4" w14:textId="77777777" w:rsidR="001B767A" w:rsidRPr="00927DBF" w:rsidRDefault="00EC4D80">
      <w:pPr>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Repasse:</w:t>
      </w:r>
    </w:p>
    <w:p w14:paraId="3A07BA82" w14:textId="77777777" w:rsidR="001B767A" w:rsidRPr="00927DBF" w:rsidRDefault="00EC4D80">
      <w:pPr>
        <w:spacing w:before="60" w:after="60"/>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 Valor previsto para a execução da 10ª Virada Cultural de Belo Horizonte 2025: R$2.201.407,00 (dois milhões duzentos e um mil, quatrocentos e sete reais), a depender da aprovação da Lei Orçamentária Anual 2025; </w:t>
      </w:r>
    </w:p>
    <w:p w14:paraId="558ADBAD" w14:textId="77777777" w:rsidR="001B767A" w:rsidRPr="00927DBF" w:rsidRDefault="00EC4D80">
      <w:pPr>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b/>
          <w:sz w:val="20"/>
          <w:szCs w:val="20"/>
        </w:rPr>
        <w:t>Leia-se:</w:t>
      </w:r>
    </w:p>
    <w:p w14:paraId="4B1A5C81" w14:textId="77777777" w:rsidR="001B767A" w:rsidRDefault="00EC4D80">
      <w:pPr>
        <w:spacing w:before="60" w:after="60"/>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sz w:val="20"/>
          <w:szCs w:val="20"/>
        </w:rPr>
        <w:t xml:space="preserve">- Valor previsto para a execução da 10ª Virada Cultural de Belo Horizonte 2025: </w:t>
      </w:r>
      <w:r w:rsidRPr="00927DBF">
        <w:rPr>
          <w:rFonts w:ascii="Times New Roman" w:eastAsia="Times New Roman" w:hAnsi="Times New Roman" w:cs="Times New Roman"/>
          <w:b/>
          <w:sz w:val="20"/>
          <w:szCs w:val="20"/>
        </w:rPr>
        <w:t>R$2.500.000,00 (dois milhões e quinhentos mil reais).</w:t>
      </w:r>
      <w:r w:rsidRPr="00927DBF">
        <w:rPr>
          <w:rFonts w:ascii="Times New Roman" w:eastAsia="Times New Roman" w:hAnsi="Times New Roman" w:cs="Times New Roman"/>
          <w:sz w:val="20"/>
          <w:szCs w:val="20"/>
        </w:rPr>
        <w:t> </w:t>
      </w:r>
    </w:p>
    <w:p w14:paraId="4D5BA6D7" w14:textId="77777777" w:rsidR="001B767A" w:rsidRDefault="001B767A">
      <w:pPr>
        <w:ind w:left="0" w:hanging="2"/>
        <w:jc w:val="both"/>
        <w:rPr>
          <w:rFonts w:ascii="Times New Roman" w:eastAsia="Times New Roman" w:hAnsi="Times New Roman" w:cs="Times New Roman"/>
          <w:sz w:val="20"/>
          <w:szCs w:val="20"/>
        </w:rPr>
      </w:pPr>
    </w:p>
    <w:p w14:paraId="501C681C" w14:textId="77777777" w:rsidR="001B767A" w:rsidRDefault="001B767A">
      <w:pPr>
        <w:ind w:left="0" w:hanging="2"/>
        <w:jc w:val="both"/>
        <w:rPr>
          <w:rFonts w:ascii="Times New Roman" w:eastAsia="Times New Roman" w:hAnsi="Times New Roman" w:cs="Times New Roman"/>
          <w:sz w:val="20"/>
          <w:szCs w:val="20"/>
        </w:rPr>
      </w:pPr>
    </w:p>
    <w:p w14:paraId="6CD2EA7D" w14:textId="766706F3" w:rsidR="001B767A" w:rsidRDefault="00EC4D80">
      <w:pPr>
        <w:ind w:left="0" w:hanging="2"/>
        <w:jc w:val="both"/>
        <w:rPr>
          <w:rFonts w:ascii="Times New Roman" w:eastAsia="Times New Roman" w:hAnsi="Times New Roman" w:cs="Times New Roman"/>
          <w:color w:val="FF0000"/>
          <w:sz w:val="20"/>
          <w:szCs w:val="20"/>
          <w:highlight w:val="white"/>
        </w:rPr>
      </w:pPr>
      <w:proofErr w:type="spellStart"/>
      <w:r>
        <w:rPr>
          <w:rFonts w:ascii="Times New Roman" w:eastAsia="Times New Roman" w:hAnsi="Times New Roman" w:cs="Times New Roman"/>
          <w:b/>
          <w:sz w:val="20"/>
          <w:szCs w:val="20"/>
        </w:rPr>
        <w:t>xv</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highlight w:val="white"/>
        </w:rPr>
        <w:t xml:space="preserve">No Anexo III do edital, </w:t>
      </w:r>
      <w:r>
        <w:rPr>
          <w:rFonts w:ascii="Times New Roman" w:eastAsia="Times New Roman" w:hAnsi="Times New Roman" w:cs="Times New Roman"/>
          <w:b/>
          <w:sz w:val="20"/>
          <w:szCs w:val="20"/>
        </w:rPr>
        <w:t>PLANO DE TRABALHO, item 13. CRONOGRAMA DE DESEMBOLSO, subitem 13.1. CRONOGRAMA DE DESEMBOLSO</w:t>
      </w:r>
    </w:p>
    <w:p w14:paraId="727AA1F6" w14:textId="77777777" w:rsidR="001B767A" w:rsidRDefault="00EC4D80">
      <w:pPr>
        <w:ind w:left="0" w:hanging="2"/>
        <w:jc w:val="both"/>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b/>
          <w:sz w:val="20"/>
          <w:szCs w:val="20"/>
        </w:rPr>
        <w:t>Onde se lê:</w:t>
      </w:r>
    </w:p>
    <w:tbl>
      <w:tblPr>
        <w:tblStyle w:val="a7"/>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416"/>
        <w:gridCol w:w="6031"/>
      </w:tblGrid>
      <w:tr w:rsidR="001B767A" w14:paraId="19FBE22A" w14:textId="77777777">
        <w:trPr>
          <w:trHeight w:val="273"/>
          <w:jc w:val="center"/>
        </w:trPr>
        <w:tc>
          <w:tcPr>
            <w:tcW w:w="11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A45193"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PARCELA</w:t>
            </w:r>
          </w:p>
        </w:tc>
        <w:tc>
          <w:tcPr>
            <w:tcW w:w="24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DA744D"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VALOR (R$)</w:t>
            </w:r>
          </w:p>
        </w:tc>
        <w:tc>
          <w:tcPr>
            <w:tcW w:w="60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ACB080"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PRAZO PARA REPASSE</w:t>
            </w:r>
          </w:p>
        </w:tc>
      </w:tr>
      <w:tr w:rsidR="001B767A" w14:paraId="6C5EE95F" w14:textId="77777777">
        <w:trPr>
          <w:trHeight w:val="267"/>
          <w:jc w:val="center"/>
        </w:trPr>
        <w:tc>
          <w:tcPr>
            <w:tcW w:w="1183" w:type="dxa"/>
            <w:tcBorders>
              <w:top w:val="single" w:sz="4" w:space="0" w:color="000000"/>
              <w:left w:val="single" w:sz="4" w:space="0" w:color="000000"/>
              <w:bottom w:val="single" w:sz="4" w:space="0" w:color="000000"/>
              <w:right w:val="single" w:sz="4" w:space="0" w:color="000000"/>
            </w:tcBorders>
            <w:vAlign w:val="center"/>
          </w:tcPr>
          <w:p w14:paraId="6F20198E"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1ª</w:t>
            </w:r>
          </w:p>
        </w:tc>
        <w:tc>
          <w:tcPr>
            <w:tcW w:w="2416" w:type="dxa"/>
            <w:tcBorders>
              <w:top w:val="single" w:sz="4" w:space="0" w:color="000000"/>
              <w:left w:val="single" w:sz="4" w:space="0" w:color="000000"/>
              <w:bottom w:val="single" w:sz="4" w:space="0" w:color="000000"/>
              <w:right w:val="single" w:sz="4" w:space="0" w:color="000000"/>
            </w:tcBorders>
            <w:vAlign w:val="center"/>
          </w:tcPr>
          <w:p w14:paraId="3D81548C" w14:textId="77777777" w:rsidR="001B767A" w:rsidRDefault="00EC4D80">
            <w:pPr>
              <w:ind w:left="0" w:right="16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R$1.000.000,00</w:t>
            </w:r>
          </w:p>
        </w:tc>
        <w:tc>
          <w:tcPr>
            <w:tcW w:w="6031" w:type="dxa"/>
            <w:tcBorders>
              <w:top w:val="single" w:sz="4" w:space="0" w:color="000000"/>
              <w:left w:val="single" w:sz="4" w:space="0" w:color="000000"/>
              <w:bottom w:val="single" w:sz="4" w:space="0" w:color="000000"/>
              <w:right w:val="single" w:sz="4" w:space="0" w:color="000000"/>
            </w:tcBorders>
            <w:vAlign w:val="center"/>
          </w:tcPr>
          <w:p w14:paraId="2595515B"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Previsão de repasse em até 7 (sete) dias após a assinatura do Termo de Colaboração.</w:t>
            </w:r>
          </w:p>
        </w:tc>
      </w:tr>
      <w:tr w:rsidR="001B767A" w14:paraId="498D53EE" w14:textId="77777777">
        <w:trPr>
          <w:trHeight w:val="403"/>
          <w:jc w:val="center"/>
        </w:trPr>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2BCF23"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2ª</w:t>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B61B4C" w14:textId="77777777" w:rsidR="001B767A" w:rsidRDefault="00EC4D80">
            <w:pPr>
              <w:ind w:left="0" w:right="16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R$1.000.000,00</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22B8C"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Previsão de repasse em até 30 (trinta) dias após a assinatura do Termo de Colaboração, mediante entrega de prospecções realizadas até o momento.</w:t>
            </w:r>
          </w:p>
        </w:tc>
      </w:tr>
      <w:tr w:rsidR="001B767A" w14:paraId="33D81462" w14:textId="77777777">
        <w:trPr>
          <w:trHeight w:val="383"/>
          <w:jc w:val="center"/>
        </w:trPr>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9A288"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3ª</w:t>
            </w:r>
          </w:p>
        </w:tc>
        <w:tc>
          <w:tcPr>
            <w:tcW w:w="2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D29C7" w14:textId="77777777" w:rsidR="001B767A" w:rsidRDefault="00EC4D80">
            <w:pPr>
              <w:ind w:left="0" w:right="16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R$201.407,00</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88020"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Previsão de repasse em até 3 (três) dias após a realização do festival.</w:t>
            </w:r>
          </w:p>
        </w:tc>
      </w:tr>
      <w:tr w:rsidR="001B767A" w14:paraId="15FDF5B9" w14:textId="77777777">
        <w:trPr>
          <w:trHeight w:val="567"/>
          <w:jc w:val="center"/>
        </w:trPr>
        <w:tc>
          <w:tcPr>
            <w:tcW w:w="11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92B565" w14:textId="77777777" w:rsidR="001B767A" w:rsidRDefault="00EC4D80">
            <w:pPr>
              <w:ind w:left="0" w:hanging="2"/>
              <w:jc w:val="both"/>
              <w:rPr>
                <w:rFonts w:ascii="Times New Roman" w:eastAsia="Times New Roman" w:hAnsi="Times New Roman" w:cs="Times New Roman"/>
                <w:sz w:val="20"/>
                <w:szCs w:val="20"/>
              </w:rPr>
            </w:pPr>
            <w:bookmarkStart w:id="3" w:name="_heading=h.tyjcwt" w:colFirst="0" w:colLast="0"/>
            <w:bookmarkEnd w:id="3"/>
            <w:r>
              <w:rPr>
                <w:rFonts w:ascii="Times New Roman" w:eastAsia="Times New Roman" w:hAnsi="Times New Roman" w:cs="Times New Roman"/>
                <w:b/>
                <w:sz w:val="20"/>
                <w:szCs w:val="20"/>
              </w:rPr>
              <w:t>TOTAL</w:t>
            </w:r>
          </w:p>
        </w:tc>
        <w:tc>
          <w:tcPr>
            <w:tcW w:w="2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5833D" w14:textId="77777777" w:rsidR="001B767A" w:rsidRDefault="00EC4D80">
            <w:pPr>
              <w:ind w:left="0" w:right="16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R$2.201.407,00</w:t>
            </w:r>
          </w:p>
        </w:tc>
        <w:tc>
          <w:tcPr>
            <w:tcW w:w="60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C880B2" w14:textId="77777777" w:rsidR="001B767A" w:rsidRDefault="001B767A">
            <w:pPr>
              <w:ind w:left="0" w:hanging="2"/>
              <w:jc w:val="both"/>
              <w:rPr>
                <w:rFonts w:ascii="Times New Roman" w:eastAsia="Times New Roman" w:hAnsi="Times New Roman" w:cs="Times New Roman"/>
                <w:sz w:val="20"/>
                <w:szCs w:val="20"/>
              </w:rPr>
            </w:pPr>
          </w:p>
        </w:tc>
      </w:tr>
    </w:tbl>
    <w:p w14:paraId="4AC87181" w14:textId="77777777" w:rsidR="001B767A" w:rsidRDefault="00EC4D80">
      <w:pPr>
        <w:ind w:left="0" w:hanging="2"/>
        <w:jc w:val="both"/>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b/>
          <w:sz w:val="20"/>
          <w:szCs w:val="20"/>
        </w:rPr>
        <w:t>Leia-se:</w:t>
      </w:r>
    </w:p>
    <w:tbl>
      <w:tblPr>
        <w:tblStyle w:val="a8"/>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416"/>
        <w:gridCol w:w="6031"/>
      </w:tblGrid>
      <w:tr w:rsidR="001B767A" w14:paraId="19822B64" w14:textId="77777777">
        <w:trPr>
          <w:trHeight w:val="273"/>
          <w:jc w:val="center"/>
        </w:trPr>
        <w:tc>
          <w:tcPr>
            <w:tcW w:w="11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B73DA7"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PARCELA</w:t>
            </w:r>
          </w:p>
        </w:tc>
        <w:tc>
          <w:tcPr>
            <w:tcW w:w="24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C4F6B3"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VALOR (R$)</w:t>
            </w:r>
          </w:p>
        </w:tc>
        <w:tc>
          <w:tcPr>
            <w:tcW w:w="60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39125C"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PRAZO PARA REPASSE</w:t>
            </w:r>
          </w:p>
        </w:tc>
      </w:tr>
      <w:tr w:rsidR="001B767A" w14:paraId="3FFC2F2C" w14:textId="77777777">
        <w:trPr>
          <w:trHeight w:val="267"/>
          <w:jc w:val="center"/>
        </w:trPr>
        <w:tc>
          <w:tcPr>
            <w:tcW w:w="1183" w:type="dxa"/>
            <w:tcBorders>
              <w:top w:val="single" w:sz="4" w:space="0" w:color="000000"/>
              <w:left w:val="single" w:sz="4" w:space="0" w:color="000000"/>
              <w:bottom w:val="single" w:sz="4" w:space="0" w:color="000000"/>
              <w:right w:val="single" w:sz="4" w:space="0" w:color="000000"/>
            </w:tcBorders>
            <w:vAlign w:val="center"/>
          </w:tcPr>
          <w:p w14:paraId="31C7583F"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1ª</w:t>
            </w:r>
          </w:p>
        </w:tc>
        <w:tc>
          <w:tcPr>
            <w:tcW w:w="2416" w:type="dxa"/>
            <w:tcBorders>
              <w:top w:val="single" w:sz="4" w:space="0" w:color="000000"/>
              <w:left w:val="single" w:sz="4" w:space="0" w:color="000000"/>
              <w:bottom w:val="single" w:sz="4" w:space="0" w:color="000000"/>
              <w:right w:val="single" w:sz="4" w:space="0" w:color="000000"/>
            </w:tcBorders>
            <w:vAlign w:val="center"/>
          </w:tcPr>
          <w:p w14:paraId="47913636" w14:textId="77777777" w:rsidR="001B767A" w:rsidRDefault="00EC4D80">
            <w:pPr>
              <w:ind w:left="0" w:right="16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R$1.000.000,00</w:t>
            </w:r>
          </w:p>
        </w:tc>
        <w:tc>
          <w:tcPr>
            <w:tcW w:w="6031" w:type="dxa"/>
            <w:tcBorders>
              <w:top w:val="single" w:sz="4" w:space="0" w:color="000000"/>
              <w:left w:val="single" w:sz="4" w:space="0" w:color="000000"/>
              <w:bottom w:val="single" w:sz="4" w:space="0" w:color="000000"/>
              <w:right w:val="single" w:sz="4" w:space="0" w:color="000000"/>
            </w:tcBorders>
            <w:vAlign w:val="center"/>
          </w:tcPr>
          <w:p w14:paraId="28D9A0D7"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Previsão de repasse em até 7 (sete) dias úteis após a assinatura do Termo de Colaboração.</w:t>
            </w:r>
          </w:p>
        </w:tc>
      </w:tr>
      <w:tr w:rsidR="001B767A" w14:paraId="4752529D" w14:textId="77777777">
        <w:trPr>
          <w:trHeight w:val="403"/>
          <w:jc w:val="center"/>
        </w:trPr>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A875F"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2ª</w:t>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81FED" w14:textId="77777777" w:rsidR="001B767A" w:rsidRDefault="00EC4D80">
            <w:pPr>
              <w:ind w:left="0" w:right="16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R$1.300.000,00</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DADD4"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Previsão de repasse em até 30 (trinta) dias úteis após a assinatura do Termo de Colaboração.</w:t>
            </w:r>
          </w:p>
        </w:tc>
      </w:tr>
      <w:tr w:rsidR="001B767A" w14:paraId="1B7F271A" w14:textId="77777777">
        <w:trPr>
          <w:trHeight w:val="383"/>
          <w:jc w:val="center"/>
        </w:trPr>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83E82"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3ª</w:t>
            </w:r>
          </w:p>
        </w:tc>
        <w:tc>
          <w:tcPr>
            <w:tcW w:w="2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2C32A" w14:textId="77777777" w:rsidR="001B767A" w:rsidRDefault="00EC4D80">
            <w:pPr>
              <w:ind w:left="0" w:right="16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R$200.000,00</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5F61A"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Previsão de repasse em até 10 (dez) dias úteis após a realização do festival.</w:t>
            </w:r>
          </w:p>
        </w:tc>
      </w:tr>
      <w:tr w:rsidR="001B767A" w14:paraId="41D1CBB6" w14:textId="77777777">
        <w:trPr>
          <w:trHeight w:val="567"/>
          <w:jc w:val="center"/>
        </w:trPr>
        <w:tc>
          <w:tcPr>
            <w:tcW w:w="11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0BDA3F"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TOTAL</w:t>
            </w:r>
          </w:p>
        </w:tc>
        <w:tc>
          <w:tcPr>
            <w:tcW w:w="2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09FDD" w14:textId="77777777" w:rsidR="001B767A" w:rsidRDefault="00EC4D80">
            <w:pPr>
              <w:ind w:left="0" w:right="16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R$2.500.000,00</w:t>
            </w:r>
          </w:p>
        </w:tc>
        <w:tc>
          <w:tcPr>
            <w:tcW w:w="60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C1E096" w14:textId="77777777" w:rsidR="001B767A" w:rsidRDefault="001B767A">
            <w:pPr>
              <w:ind w:left="0" w:hanging="2"/>
              <w:jc w:val="both"/>
              <w:rPr>
                <w:rFonts w:ascii="Times New Roman" w:eastAsia="Times New Roman" w:hAnsi="Times New Roman" w:cs="Times New Roman"/>
                <w:sz w:val="20"/>
                <w:szCs w:val="20"/>
              </w:rPr>
            </w:pPr>
          </w:p>
        </w:tc>
      </w:tr>
    </w:tbl>
    <w:p w14:paraId="2880CA47" w14:textId="77777777" w:rsidR="001B767A" w:rsidRDefault="001B767A">
      <w:pPr>
        <w:ind w:left="0" w:hanging="2"/>
        <w:jc w:val="both"/>
        <w:rPr>
          <w:rFonts w:ascii="Times New Roman" w:eastAsia="Times New Roman" w:hAnsi="Times New Roman" w:cs="Times New Roman"/>
          <w:sz w:val="20"/>
          <w:szCs w:val="20"/>
        </w:rPr>
      </w:pPr>
    </w:p>
    <w:p w14:paraId="6FDCD25E" w14:textId="77777777" w:rsidR="001B767A" w:rsidRDefault="001B767A">
      <w:pPr>
        <w:ind w:left="0" w:hanging="2"/>
        <w:jc w:val="both"/>
        <w:rPr>
          <w:rFonts w:ascii="Times New Roman" w:eastAsia="Times New Roman" w:hAnsi="Times New Roman" w:cs="Times New Roman"/>
          <w:sz w:val="20"/>
          <w:szCs w:val="20"/>
        </w:rPr>
      </w:pPr>
    </w:p>
    <w:p w14:paraId="057F526B" w14:textId="77777777" w:rsidR="001B767A" w:rsidRDefault="001B767A">
      <w:pPr>
        <w:ind w:left="0" w:hanging="2"/>
        <w:jc w:val="both"/>
        <w:rPr>
          <w:rFonts w:ascii="Times New Roman" w:eastAsia="Times New Roman" w:hAnsi="Times New Roman" w:cs="Times New Roman"/>
          <w:sz w:val="20"/>
          <w:szCs w:val="20"/>
        </w:rPr>
      </w:pPr>
    </w:p>
    <w:p w14:paraId="00898680" w14:textId="751D195D" w:rsidR="001B767A" w:rsidRDefault="00EC4D80" w:rsidP="00F0306F">
      <w:pPr>
        <w:spacing w:before="60" w:after="60"/>
        <w:ind w:left="0" w:hanging="2"/>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xvi</w:t>
      </w:r>
      <w:proofErr w:type="spellEnd"/>
      <w:r>
        <w:rPr>
          <w:rFonts w:ascii="Times New Roman" w:eastAsia="Times New Roman" w:hAnsi="Times New Roman" w:cs="Times New Roman"/>
          <w:b/>
          <w:sz w:val="20"/>
          <w:szCs w:val="20"/>
        </w:rPr>
        <w:t>.</w:t>
      </w:r>
      <w:r w:rsidRPr="00F0306F">
        <w:rPr>
          <w:rFonts w:ascii="Times New Roman" w:eastAsia="Times New Roman" w:hAnsi="Times New Roman" w:cs="Times New Roman"/>
          <w:b/>
          <w:sz w:val="20"/>
          <w:szCs w:val="20"/>
        </w:rPr>
        <w:t xml:space="preserve"> No Anexo III do edital, </w:t>
      </w:r>
      <w:r>
        <w:rPr>
          <w:rFonts w:ascii="Times New Roman" w:eastAsia="Times New Roman" w:hAnsi="Times New Roman" w:cs="Times New Roman"/>
          <w:b/>
          <w:sz w:val="20"/>
          <w:szCs w:val="20"/>
        </w:rPr>
        <w:t>PLANO DE TRABALHO, no ANEXO I, PREVISÃO DE DESPESAS - Informações consolidadas por Natureza de Despesas</w:t>
      </w:r>
      <w:r w:rsidR="00F0306F">
        <w:rPr>
          <w:rFonts w:ascii="Times New Roman" w:eastAsia="Times New Roman" w:hAnsi="Times New Roman" w:cs="Times New Roman"/>
          <w:b/>
          <w:sz w:val="20"/>
          <w:szCs w:val="20"/>
        </w:rPr>
        <w:t xml:space="preserve"> e </w:t>
      </w:r>
      <w:r w:rsidR="00F0306F" w:rsidRPr="00F0306F">
        <w:rPr>
          <w:rFonts w:ascii="Times New Roman" w:eastAsia="Times New Roman" w:hAnsi="Times New Roman" w:cs="Times New Roman"/>
          <w:b/>
          <w:sz w:val="20"/>
          <w:szCs w:val="20"/>
        </w:rPr>
        <w:t>Informações detalhadas da previsão de despesas</w:t>
      </w:r>
      <w:r>
        <w:rPr>
          <w:rFonts w:ascii="Times New Roman" w:eastAsia="Times New Roman" w:hAnsi="Times New Roman" w:cs="Times New Roman"/>
          <w:b/>
          <w:sz w:val="20"/>
          <w:szCs w:val="20"/>
        </w:rPr>
        <w:t>:</w:t>
      </w:r>
    </w:p>
    <w:p w14:paraId="36F995BF"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ONDE SE LÊ:</w:t>
      </w:r>
    </w:p>
    <w:p w14:paraId="0E66CD50" w14:textId="77777777" w:rsidR="001B767A" w:rsidRDefault="001B767A">
      <w:pPr>
        <w:spacing w:before="60" w:after="60"/>
        <w:ind w:left="0" w:hanging="2"/>
        <w:rPr>
          <w:rFonts w:ascii="Times New Roman" w:eastAsia="Times New Roman" w:hAnsi="Times New Roman" w:cs="Times New Roman"/>
          <w:sz w:val="20"/>
          <w:szCs w:val="20"/>
        </w:rPr>
      </w:pPr>
      <w:bookmarkStart w:id="4" w:name="_heading=h.2bn6wsx" w:colFirst="0" w:colLast="0"/>
      <w:bookmarkEnd w:id="4"/>
    </w:p>
    <w:p w14:paraId="54237E34" w14:textId="77777777" w:rsidR="00F0306F" w:rsidRDefault="00F0306F" w:rsidP="00F0306F">
      <w:pPr>
        <w:keepNext/>
        <w:tabs>
          <w:tab w:val="left" w:pos="284"/>
          <w:tab w:val="left" w:pos="851"/>
        </w:tabs>
        <w:spacing w:before="120" w:after="120"/>
        <w:ind w:left="0" w:hanging="2"/>
        <w:jc w:val="center"/>
      </w:pPr>
      <w:r>
        <w:rPr>
          <w:rFonts w:ascii="Times New Roman" w:eastAsia="Times New Roman" w:hAnsi="Times New Roman" w:cs="Times New Roman"/>
          <w:b/>
          <w:sz w:val="20"/>
          <w:szCs w:val="20"/>
        </w:rPr>
        <w:t>PLANO DE TRABALHO</w:t>
      </w:r>
    </w:p>
    <w:p w14:paraId="70AD6B8D" w14:textId="77777777" w:rsidR="00F0306F" w:rsidRDefault="00F0306F" w:rsidP="00F0306F">
      <w:pPr>
        <w:keepNext/>
        <w:tabs>
          <w:tab w:val="left" w:pos="284"/>
          <w:tab w:val="left" w:pos="851"/>
        </w:tabs>
        <w:spacing w:before="120" w:after="120"/>
        <w:ind w:left="0" w:hanging="2"/>
        <w:jc w:val="center"/>
      </w:pPr>
      <w:r>
        <w:rPr>
          <w:rFonts w:ascii="Times New Roman" w:eastAsia="Times New Roman" w:hAnsi="Times New Roman" w:cs="Times New Roman"/>
          <w:b/>
          <w:sz w:val="20"/>
          <w:szCs w:val="20"/>
        </w:rPr>
        <w:t>ANEXO I</w:t>
      </w:r>
    </w:p>
    <w:p w14:paraId="2E14484D" w14:textId="77777777" w:rsidR="00F0306F" w:rsidRDefault="00F0306F" w:rsidP="00F0306F">
      <w:pPr>
        <w:spacing w:before="60" w:after="60"/>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PREVISÃO DE DESPESAS</w:t>
      </w:r>
    </w:p>
    <w:p w14:paraId="44F4F036" w14:textId="77777777" w:rsidR="00F0306F" w:rsidRDefault="00F0306F" w:rsidP="00F0306F">
      <w:pPr>
        <w:spacing w:before="60" w:after="60"/>
        <w:ind w:left="0" w:hanging="2"/>
        <w:jc w:val="center"/>
        <w:rPr>
          <w:rFonts w:ascii="Times New Roman" w:eastAsia="Times New Roman" w:hAnsi="Times New Roman" w:cs="Times New Roman"/>
          <w:sz w:val="20"/>
          <w:szCs w:val="20"/>
        </w:rPr>
      </w:pPr>
      <w:r w:rsidRPr="00F0306F">
        <w:rPr>
          <w:rFonts w:ascii="Times New Roman" w:eastAsia="Times New Roman" w:hAnsi="Times New Roman" w:cs="Times New Roman"/>
          <w:sz w:val="20"/>
          <w:szCs w:val="20"/>
        </w:rPr>
        <w:t>Informações consolidadas por Natureza de Despesa</w:t>
      </w:r>
    </w:p>
    <w:p w14:paraId="1878E63D" w14:textId="77777777" w:rsidR="00F0306F" w:rsidRDefault="00F0306F" w:rsidP="00F0306F">
      <w:pPr>
        <w:spacing w:before="60" w:after="60"/>
        <w:ind w:left="0" w:hanging="2"/>
        <w:jc w:val="center"/>
        <w:rPr>
          <w:rFonts w:ascii="Times New Roman" w:eastAsia="Times New Roman" w:hAnsi="Times New Roman" w:cs="Times New Roman"/>
          <w:sz w:val="20"/>
          <w:szCs w:val="20"/>
        </w:rPr>
      </w:pPr>
    </w:p>
    <w:p w14:paraId="1FF2918A" w14:textId="26E1F5E5" w:rsidR="00F0306F" w:rsidRDefault="00F0306F" w:rsidP="00F0306F">
      <w:pPr>
        <w:spacing w:before="60" w:after="60"/>
        <w:ind w:left="0" w:hanging="2"/>
        <w:jc w:val="center"/>
        <w:rPr>
          <w:rFonts w:ascii="Times New Roman" w:eastAsia="Times New Roman" w:hAnsi="Times New Roman" w:cs="Times New Roman"/>
          <w:sz w:val="20"/>
          <w:szCs w:val="20"/>
        </w:rPr>
        <w:sectPr w:rsidR="00F0306F">
          <w:headerReference w:type="even" r:id="rId7"/>
          <w:headerReference w:type="default" r:id="rId8"/>
          <w:footerReference w:type="even" r:id="rId9"/>
          <w:footerReference w:type="default" r:id="rId10"/>
          <w:headerReference w:type="first" r:id="rId11"/>
          <w:footerReference w:type="first" r:id="rId12"/>
          <w:pgSz w:w="11907" w:h="16840"/>
          <w:pgMar w:top="567" w:right="851" w:bottom="567" w:left="1417" w:header="284" w:footer="284" w:gutter="0"/>
          <w:pgNumType w:start="1"/>
          <w:cols w:space="720"/>
        </w:sectPr>
      </w:pPr>
      <w:r w:rsidRPr="00F0306F">
        <w:rPr>
          <w:rFonts w:ascii="Times New Roman" w:eastAsia="Times New Roman" w:hAnsi="Times New Roman" w:cs="Times New Roman"/>
          <w:noProof/>
          <w:sz w:val="20"/>
          <w:szCs w:val="20"/>
        </w:rPr>
        <w:drawing>
          <wp:inline distT="0" distB="0" distL="0" distR="0" wp14:anchorId="45A307FD" wp14:editId="1A765EC9">
            <wp:extent cx="4747671" cy="349026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47671" cy="3490262"/>
                    </a:xfrm>
                    <a:prstGeom prst="rect">
                      <a:avLst/>
                    </a:prstGeom>
                  </pic:spPr>
                </pic:pic>
              </a:graphicData>
            </a:graphic>
          </wp:inline>
        </w:drawing>
      </w:r>
    </w:p>
    <w:p w14:paraId="3DB6807C" w14:textId="720DD0BD" w:rsidR="001B767A" w:rsidRPr="00F0306F" w:rsidRDefault="00F0306F" w:rsidP="00F0306F">
      <w:pPr>
        <w:spacing w:before="60" w:after="60"/>
        <w:ind w:left="0" w:hanging="2"/>
        <w:jc w:val="center"/>
        <w:rPr>
          <w:rFonts w:ascii="Times New Roman" w:eastAsia="Times New Roman" w:hAnsi="Times New Roman" w:cs="Times New Roman"/>
          <w:sz w:val="20"/>
          <w:szCs w:val="20"/>
        </w:rPr>
      </w:pPr>
      <w:r w:rsidRPr="00F0306F">
        <w:rPr>
          <w:rFonts w:ascii="Times New Roman" w:eastAsia="Times New Roman" w:hAnsi="Times New Roman" w:cs="Times New Roman"/>
          <w:sz w:val="20"/>
          <w:szCs w:val="20"/>
        </w:rPr>
        <w:lastRenderedPageBreak/>
        <w:t xml:space="preserve">Informações detalhadas da previsão de despesas   </w:t>
      </w:r>
    </w:p>
    <w:tbl>
      <w:tblPr>
        <w:tblStyle w:val="a9"/>
        <w:tblW w:w="10480" w:type="dxa"/>
        <w:jc w:val="center"/>
        <w:tblInd w:w="0" w:type="dxa"/>
        <w:tblLayout w:type="fixed"/>
        <w:tblLook w:val="0000" w:firstRow="0" w:lastRow="0" w:firstColumn="0" w:lastColumn="0" w:noHBand="0" w:noVBand="0"/>
      </w:tblPr>
      <w:tblGrid>
        <w:gridCol w:w="720"/>
        <w:gridCol w:w="1520"/>
        <w:gridCol w:w="360"/>
        <w:gridCol w:w="3140"/>
        <w:gridCol w:w="920"/>
        <w:gridCol w:w="1000"/>
        <w:gridCol w:w="940"/>
        <w:gridCol w:w="900"/>
        <w:gridCol w:w="980"/>
      </w:tblGrid>
      <w:tr w:rsidR="001B767A" w14:paraId="4F6DBB02" w14:textId="77777777">
        <w:trPr>
          <w:trHeight w:val="299"/>
          <w:jc w:val="center"/>
        </w:trPr>
        <w:tc>
          <w:tcPr>
            <w:tcW w:w="10480" w:type="dxa"/>
            <w:gridSpan w:val="9"/>
            <w:tcBorders>
              <w:top w:val="single" w:sz="4" w:space="0" w:color="00000A"/>
              <w:left w:val="single" w:sz="4" w:space="0" w:color="00000A"/>
              <w:bottom w:val="single" w:sz="4" w:space="0" w:color="00000A"/>
              <w:right w:val="single" w:sz="4" w:space="0" w:color="00000A"/>
            </w:tcBorders>
            <w:shd w:val="clear" w:color="auto" w:fill="D9D9D9"/>
            <w:vAlign w:val="center"/>
          </w:tcPr>
          <w:p w14:paraId="1D6BE646" w14:textId="77777777" w:rsidR="001B767A" w:rsidRDefault="00EC4D80">
            <w:pPr>
              <w:widowControl/>
              <w:tabs>
                <w:tab w:val="left" w:pos="580"/>
              </w:tabs>
              <w:spacing w:before="60" w:after="60"/>
              <w:ind w:left="0" w:hanging="2"/>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Previsão de Despesas</w:t>
            </w:r>
          </w:p>
        </w:tc>
      </w:tr>
      <w:tr w:rsidR="001B767A" w14:paraId="2E8FA7A1" w14:textId="77777777">
        <w:trPr>
          <w:cantSplit/>
          <w:trHeight w:val="629"/>
          <w:jc w:val="center"/>
        </w:trPr>
        <w:tc>
          <w:tcPr>
            <w:tcW w:w="720" w:type="dxa"/>
            <w:vMerge w:val="restart"/>
            <w:tcBorders>
              <w:top w:val="single" w:sz="4" w:space="0" w:color="000000"/>
              <w:left w:val="single" w:sz="4" w:space="0" w:color="000000"/>
              <w:bottom w:val="single" w:sz="4" w:space="0" w:color="000000"/>
            </w:tcBorders>
            <w:shd w:val="clear" w:color="auto" w:fill="D9D9D9"/>
            <w:vAlign w:val="center"/>
          </w:tcPr>
          <w:p w14:paraId="3FAC22AE" w14:textId="77777777" w:rsidR="001B767A" w:rsidRDefault="00EC4D80">
            <w:pPr>
              <w:tabs>
                <w:tab w:val="left" w:pos="284"/>
                <w:tab w:val="left" w:pos="851"/>
              </w:tabs>
              <w:spacing w:before="60" w:after="60"/>
              <w:ind w:left="0" w:hanging="2"/>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Natureza de Despesa</w:t>
            </w:r>
            <w:r>
              <w:rPr>
                <w:rFonts w:ascii="Times New Roman" w:eastAsia="Times New Roman" w:hAnsi="Times New Roman" w:cs="Times New Roman"/>
                <w:b/>
                <w:sz w:val="18"/>
                <w:szCs w:val="18"/>
                <w:vertAlign w:val="superscript"/>
              </w:rPr>
              <w:footnoteReference w:id="1"/>
            </w:r>
          </w:p>
        </w:tc>
        <w:tc>
          <w:tcPr>
            <w:tcW w:w="1520" w:type="dxa"/>
            <w:vMerge w:val="restart"/>
            <w:tcBorders>
              <w:top w:val="single" w:sz="4" w:space="0" w:color="000000"/>
              <w:left w:val="single" w:sz="4" w:space="0" w:color="000000"/>
              <w:bottom w:val="single" w:sz="4" w:space="0" w:color="000000"/>
            </w:tcBorders>
            <w:shd w:val="clear" w:color="auto" w:fill="D9D9D9"/>
            <w:vAlign w:val="center"/>
          </w:tcPr>
          <w:p w14:paraId="49BB36B7"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b/>
                <w:sz w:val="18"/>
                <w:szCs w:val="18"/>
              </w:rPr>
              <w:t>Nome da Natureza da Despesa</w:t>
            </w:r>
          </w:p>
          <w:p w14:paraId="2E2EEB97"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As naturezas estão pré-definidas no SUCC</w:t>
            </w:r>
          </w:p>
        </w:tc>
        <w:tc>
          <w:tcPr>
            <w:tcW w:w="3500" w:type="dxa"/>
            <w:gridSpan w:val="2"/>
            <w:tcBorders>
              <w:top w:val="single" w:sz="4" w:space="0" w:color="000000"/>
              <w:left w:val="single" w:sz="4" w:space="0" w:color="000000"/>
              <w:bottom w:val="single" w:sz="4" w:space="0" w:color="000000"/>
            </w:tcBorders>
            <w:shd w:val="clear" w:color="auto" w:fill="D9D9D9"/>
            <w:vAlign w:val="center"/>
          </w:tcPr>
          <w:p w14:paraId="5910C2EA"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b/>
                <w:sz w:val="18"/>
                <w:szCs w:val="18"/>
              </w:rPr>
              <w:t>Item de despesa</w:t>
            </w:r>
          </w:p>
        </w:tc>
        <w:tc>
          <w:tcPr>
            <w:tcW w:w="920" w:type="dxa"/>
            <w:vMerge w:val="restart"/>
            <w:tcBorders>
              <w:top w:val="single" w:sz="4" w:space="0" w:color="000000"/>
              <w:left w:val="single" w:sz="4" w:space="0" w:color="000000"/>
              <w:bottom w:val="single" w:sz="4" w:space="0" w:color="000000"/>
            </w:tcBorders>
            <w:shd w:val="clear" w:color="auto" w:fill="D9D9D9"/>
            <w:vAlign w:val="center"/>
          </w:tcPr>
          <w:p w14:paraId="73127AA6"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b/>
                <w:sz w:val="18"/>
                <w:szCs w:val="18"/>
              </w:rPr>
              <w:t>Quantidade</w:t>
            </w:r>
          </w:p>
        </w:tc>
        <w:tc>
          <w:tcPr>
            <w:tcW w:w="1000" w:type="dxa"/>
            <w:vMerge w:val="restart"/>
            <w:tcBorders>
              <w:top w:val="single" w:sz="4" w:space="0" w:color="000000"/>
              <w:left w:val="single" w:sz="4" w:space="0" w:color="000000"/>
              <w:bottom w:val="single" w:sz="4" w:space="0" w:color="000000"/>
            </w:tcBorders>
            <w:shd w:val="clear" w:color="auto" w:fill="D9D9D9"/>
            <w:vAlign w:val="center"/>
          </w:tcPr>
          <w:p w14:paraId="26F824DF" w14:textId="77777777" w:rsidR="001B767A" w:rsidRDefault="00EC4D80">
            <w:pPr>
              <w:tabs>
                <w:tab w:val="left" w:pos="284"/>
                <w:tab w:val="left" w:pos="851"/>
              </w:tabs>
              <w:spacing w:before="60" w:after="60"/>
              <w:ind w:left="0" w:hanging="2"/>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Valor Unitário Médio de Mercado</w:t>
            </w:r>
            <w:r>
              <w:rPr>
                <w:rFonts w:ascii="Times New Roman" w:eastAsia="Times New Roman" w:hAnsi="Times New Roman" w:cs="Times New Roman"/>
                <w:b/>
                <w:sz w:val="18"/>
                <w:szCs w:val="18"/>
                <w:vertAlign w:val="superscript"/>
              </w:rPr>
              <w:footnoteReference w:id="2"/>
            </w:r>
          </w:p>
          <w:p w14:paraId="18AB4E83"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Média obtida por meio da orçamentação</w:t>
            </w:r>
          </w:p>
        </w:tc>
        <w:tc>
          <w:tcPr>
            <w:tcW w:w="940" w:type="dxa"/>
            <w:vMerge w:val="restart"/>
            <w:tcBorders>
              <w:top w:val="single" w:sz="4" w:space="0" w:color="000000"/>
              <w:left w:val="single" w:sz="4" w:space="0" w:color="000000"/>
              <w:bottom w:val="single" w:sz="4" w:space="0" w:color="000000"/>
            </w:tcBorders>
            <w:shd w:val="clear" w:color="auto" w:fill="D9D9D9"/>
            <w:vAlign w:val="center"/>
          </w:tcPr>
          <w:p w14:paraId="7EEFC6B6" w14:textId="77777777" w:rsidR="001B767A" w:rsidRDefault="00EC4D80">
            <w:pPr>
              <w:tabs>
                <w:tab w:val="left" w:pos="284"/>
                <w:tab w:val="left" w:pos="851"/>
              </w:tabs>
              <w:spacing w:before="60" w:after="60"/>
              <w:ind w:left="0" w:hanging="2"/>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Valor Total Estimado Médio de Mercado</w:t>
            </w:r>
          </w:p>
        </w:tc>
        <w:tc>
          <w:tcPr>
            <w:tcW w:w="900" w:type="dxa"/>
            <w:vMerge w:val="restart"/>
            <w:tcBorders>
              <w:top w:val="single" w:sz="4" w:space="0" w:color="000000"/>
              <w:left w:val="single" w:sz="4" w:space="0" w:color="000000"/>
              <w:bottom w:val="single" w:sz="4" w:space="0" w:color="000000"/>
            </w:tcBorders>
            <w:shd w:val="clear" w:color="auto" w:fill="D9D9D9"/>
            <w:vAlign w:val="center"/>
          </w:tcPr>
          <w:p w14:paraId="4FA72D20"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b/>
                <w:sz w:val="18"/>
                <w:szCs w:val="18"/>
              </w:rPr>
              <w:t>Valor Total por Natureza de Despesa</w:t>
            </w:r>
          </w:p>
        </w:tc>
        <w:tc>
          <w:tcPr>
            <w:tcW w:w="98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B7B0BF3" w14:textId="77777777" w:rsidR="001B767A" w:rsidRDefault="00EC4D80">
            <w:pPr>
              <w:tabs>
                <w:tab w:val="left" w:pos="284"/>
                <w:tab w:val="left" w:pos="851"/>
              </w:tabs>
              <w:spacing w:before="60" w:after="60"/>
              <w:ind w:left="0" w:hanging="2"/>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Origem do Recurso</w:t>
            </w:r>
            <w:r>
              <w:rPr>
                <w:rFonts w:ascii="Times New Roman" w:eastAsia="Times New Roman" w:hAnsi="Times New Roman" w:cs="Times New Roman"/>
                <w:b/>
                <w:sz w:val="18"/>
                <w:szCs w:val="18"/>
                <w:vertAlign w:val="superscript"/>
              </w:rPr>
              <w:footnoteReference w:id="3"/>
            </w:r>
          </w:p>
          <w:p w14:paraId="1A8655A0"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Repasse ou Contrapartida</w:t>
            </w:r>
          </w:p>
        </w:tc>
      </w:tr>
      <w:tr w:rsidR="001B767A" w14:paraId="68B558F5" w14:textId="77777777">
        <w:trPr>
          <w:cantSplit/>
          <w:trHeight w:val="375"/>
          <w:jc w:val="center"/>
        </w:trPr>
        <w:tc>
          <w:tcPr>
            <w:tcW w:w="720" w:type="dxa"/>
            <w:vMerge/>
            <w:tcBorders>
              <w:top w:val="single" w:sz="4" w:space="0" w:color="000000"/>
              <w:left w:val="single" w:sz="4" w:space="0" w:color="000000"/>
              <w:bottom w:val="single" w:sz="4" w:space="0" w:color="000000"/>
            </w:tcBorders>
            <w:shd w:val="clear" w:color="auto" w:fill="D9D9D9"/>
            <w:vAlign w:val="center"/>
          </w:tcPr>
          <w:p w14:paraId="581E906C" w14:textId="77777777" w:rsidR="001B767A" w:rsidRDefault="001B767A">
            <w:pPr>
              <w:spacing w:line="276" w:lineRule="auto"/>
              <w:ind w:left="0" w:hanging="2"/>
            </w:pPr>
          </w:p>
        </w:tc>
        <w:tc>
          <w:tcPr>
            <w:tcW w:w="1520" w:type="dxa"/>
            <w:vMerge/>
            <w:tcBorders>
              <w:top w:val="single" w:sz="4" w:space="0" w:color="000000"/>
              <w:left w:val="single" w:sz="4" w:space="0" w:color="000000"/>
              <w:bottom w:val="single" w:sz="4" w:space="0" w:color="000000"/>
            </w:tcBorders>
            <w:shd w:val="clear" w:color="auto" w:fill="D9D9D9"/>
            <w:vAlign w:val="center"/>
          </w:tcPr>
          <w:p w14:paraId="27975D45" w14:textId="77777777" w:rsidR="001B767A" w:rsidRDefault="001B767A">
            <w:pPr>
              <w:spacing w:line="276" w:lineRule="auto"/>
              <w:ind w:left="0" w:hanging="2"/>
            </w:pPr>
          </w:p>
        </w:tc>
        <w:tc>
          <w:tcPr>
            <w:tcW w:w="360" w:type="dxa"/>
            <w:tcBorders>
              <w:top w:val="single" w:sz="4" w:space="0" w:color="000000"/>
              <w:left w:val="single" w:sz="4" w:space="0" w:color="000000"/>
              <w:bottom w:val="single" w:sz="4" w:space="0" w:color="000000"/>
            </w:tcBorders>
            <w:shd w:val="clear" w:color="auto" w:fill="D9D9D9"/>
            <w:vAlign w:val="center"/>
          </w:tcPr>
          <w:p w14:paraId="74E1F854"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b/>
                <w:sz w:val="18"/>
                <w:szCs w:val="18"/>
              </w:rPr>
              <w:t>Nº</w:t>
            </w:r>
          </w:p>
        </w:tc>
        <w:tc>
          <w:tcPr>
            <w:tcW w:w="3140" w:type="dxa"/>
            <w:tcBorders>
              <w:top w:val="single" w:sz="4" w:space="0" w:color="000000"/>
              <w:left w:val="single" w:sz="4" w:space="0" w:color="000000"/>
              <w:bottom w:val="single" w:sz="4" w:space="0" w:color="000000"/>
            </w:tcBorders>
            <w:shd w:val="clear" w:color="auto" w:fill="D9D9D9"/>
            <w:vAlign w:val="center"/>
          </w:tcPr>
          <w:p w14:paraId="1C00ADAC"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Descrição dos itens específicos de despesa</w:t>
            </w:r>
          </w:p>
        </w:tc>
        <w:tc>
          <w:tcPr>
            <w:tcW w:w="920" w:type="dxa"/>
            <w:vMerge/>
            <w:tcBorders>
              <w:top w:val="single" w:sz="4" w:space="0" w:color="000000"/>
              <w:left w:val="single" w:sz="4" w:space="0" w:color="000000"/>
              <w:bottom w:val="single" w:sz="4" w:space="0" w:color="000000"/>
            </w:tcBorders>
            <w:shd w:val="clear" w:color="auto" w:fill="D9D9D9"/>
            <w:vAlign w:val="center"/>
          </w:tcPr>
          <w:p w14:paraId="61135C66" w14:textId="77777777" w:rsidR="001B767A" w:rsidRDefault="001B767A">
            <w:pPr>
              <w:spacing w:line="276" w:lineRule="auto"/>
              <w:ind w:left="0" w:hanging="2"/>
            </w:pPr>
          </w:p>
        </w:tc>
        <w:tc>
          <w:tcPr>
            <w:tcW w:w="1000" w:type="dxa"/>
            <w:vMerge/>
            <w:tcBorders>
              <w:top w:val="single" w:sz="4" w:space="0" w:color="000000"/>
              <w:left w:val="single" w:sz="4" w:space="0" w:color="000000"/>
              <w:bottom w:val="single" w:sz="4" w:space="0" w:color="000000"/>
            </w:tcBorders>
            <w:shd w:val="clear" w:color="auto" w:fill="D9D9D9"/>
            <w:vAlign w:val="center"/>
          </w:tcPr>
          <w:p w14:paraId="3ECCA8BF" w14:textId="77777777" w:rsidR="001B767A" w:rsidRDefault="001B767A">
            <w:pPr>
              <w:spacing w:line="276" w:lineRule="auto"/>
              <w:ind w:left="0" w:hanging="2"/>
            </w:pPr>
          </w:p>
        </w:tc>
        <w:tc>
          <w:tcPr>
            <w:tcW w:w="940" w:type="dxa"/>
            <w:vMerge/>
            <w:tcBorders>
              <w:top w:val="single" w:sz="4" w:space="0" w:color="000000"/>
              <w:left w:val="single" w:sz="4" w:space="0" w:color="000000"/>
              <w:bottom w:val="single" w:sz="4" w:space="0" w:color="000000"/>
            </w:tcBorders>
            <w:shd w:val="clear" w:color="auto" w:fill="D9D9D9"/>
            <w:vAlign w:val="center"/>
          </w:tcPr>
          <w:p w14:paraId="4C726C3F" w14:textId="77777777" w:rsidR="001B767A" w:rsidRDefault="001B767A">
            <w:pPr>
              <w:spacing w:line="276" w:lineRule="auto"/>
              <w:ind w:left="0" w:hanging="2"/>
            </w:pPr>
          </w:p>
        </w:tc>
        <w:tc>
          <w:tcPr>
            <w:tcW w:w="900" w:type="dxa"/>
            <w:vMerge/>
            <w:tcBorders>
              <w:top w:val="single" w:sz="4" w:space="0" w:color="000000"/>
              <w:left w:val="single" w:sz="4" w:space="0" w:color="000000"/>
              <w:bottom w:val="single" w:sz="4" w:space="0" w:color="000000"/>
            </w:tcBorders>
            <w:shd w:val="clear" w:color="auto" w:fill="D9D9D9"/>
            <w:vAlign w:val="center"/>
          </w:tcPr>
          <w:p w14:paraId="5CAF83F4" w14:textId="77777777" w:rsidR="001B767A" w:rsidRDefault="001B767A">
            <w:pPr>
              <w:spacing w:line="276" w:lineRule="auto"/>
              <w:ind w:left="0" w:hanging="2"/>
            </w:pPr>
          </w:p>
        </w:tc>
        <w:tc>
          <w:tcPr>
            <w:tcW w:w="9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4660407" w14:textId="77777777" w:rsidR="001B767A" w:rsidRDefault="001B767A">
            <w:pPr>
              <w:spacing w:line="276" w:lineRule="auto"/>
              <w:ind w:left="0" w:hanging="2"/>
            </w:pPr>
          </w:p>
        </w:tc>
      </w:tr>
      <w:tr w:rsidR="001B767A" w14:paraId="49C96852"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102295BC"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319011</w:t>
            </w:r>
          </w:p>
        </w:tc>
        <w:tc>
          <w:tcPr>
            <w:tcW w:w="1520" w:type="dxa"/>
            <w:vMerge w:val="restart"/>
            <w:tcBorders>
              <w:top w:val="single" w:sz="4" w:space="0" w:color="000000"/>
              <w:left w:val="single" w:sz="4" w:space="0" w:color="000000"/>
              <w:bottom w:val="single" w:sz="4" w:space="0" w:color="000000"/>
            </w:tcBorders>
            <w:vAlign w:val="center"/>
          </w:tcPr>
          <w:p w14:paraId="19D701E6"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Vencimentos e vantagens fixas – pessoal civil</w:t>
            </w:r>
          </w:p>
        </w:tc>
        <w:tc>
          <w:tcPr>
            <w:tcW w:w="360" w:type="dxa"/>
            <w:tcBorders>
              <w:top w:val="single" w:sz="4" w:space="0" w:color="000000"/>
              <w:left w:val="single" w:sz="4" w:space="0" w:color="000000"/>
              <w:bottom w:val="single" w:sz="4" w:space="0" w:color="000000"/>
            </w:tcBorders>
            <w:vAlign w:val="center"/>
          </w:tcPr>
          <w:p w14:paraId="68709BA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43108AB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6CA5A28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295838E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388B000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478DFDA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2D484D4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4907BB00"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4EB3EF39"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67ED4AF3"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1561460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4FC8A77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5FCDD5D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7691E09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5560E26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00D99D00"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3768C2D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2895F3B1"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489DCED5"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319013</w:t>
            </w:r>
          </w:p>
        </w:tc>
        <w:tc>
          <w:tcPr>
            <w:tcW w:w="1520" w:type="dxa"/>
            <w:vMerge w:val="restart"/>
            <w:tcBorders>
              <w:top w:val="single" w:sz="4" w:space="0" w:color="000000"/>
              <w:left w:val="single" w:sz="4" w:space="0" w:color="000000"/>
              <w:bottom w:val="single" w:sz="4" w:space="0" w:color="000000"/>
            </w:tcBorders>
            <w:vAlign w:val="center"/>
          </w:tcPr>
          <w:p w14:paraId="6914A76E"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Obrigações patronais</w:t>
            </w:r>
          </w:p>
        </w:tc>
        <w:tc>
          <w:tcPr>
            <w:tcW w:w="360" w:type="dxa"/>
            <w:tcBorders>
              <w:top w:val="single" w:sz="4" w:space="0" w:color="000000"/>
              <w:left w:val="single" w:sz="4" w:space="0" w:color="000000"/>
              <w:bottom w:val="single" w:sz="4" w:space="0" w:color="000000"/>
            </w:tcBorders>
            <w:vAlign w:val="center"/>
          </w:tcPr>
          <w:p w14:paraId="58680FE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2B38300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259714B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3003B09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1899619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4F4209E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33824B7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7C5C47ED"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1BB29084"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2C5EC8CF"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4B4A712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01E4021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23302DA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0A54339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5B4C031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0E2078E2"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0ECA278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0D9776DA"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7B404B07"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319016</w:t>
            </w:r>
          </w:p>
        </w:tc>
        <w:tc>
          <w:tcPr>
            <w:tcW w:w="1520" w:type="dxa"/>
            <w:vMerge w:val="restart"/>
            <w:tcBorders>
              <w:top w:val="single" w:sz="4" w:space="0" w:color="000000"/>
              <w:left w:val="single" w:sz="4" w:space="0" w:color="000000"/>
              <w:bottom w:val="single" w:sz="4" w:space="0" w:color="000000"/>
            </w:tcBorders>
            <w:vAlign w:val="center"/>
          </w:tcPr>
          <w:p w14:paraId="6C8B362A"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Outras despesas variáveis - pessoal civil</w:t>
            </w:r>
          </w:p>
        </w:tc>
        <w:tc>
          <w:tcPr>
            <w:tcW w:w="360" w:type="dxa"/>
            <w:tcBorders>
              <w:top w:val="single" w:sz="4" w:space="0" w:color="000000"/>
              <w:left w:val="single" w:sz="4" w:space="0" w:color="000000"/>
              <w:bottom w:val="single" w:sz="4" w:space="0" w:color="000000"/>
            </w:tcBorders>
            <w:vAlign w:val="center"/>
          </w:tcPr>
          <w:p w14:paraId="33A9D56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156BC84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62EEFDB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05876E7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37A53B5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58E28BB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0615CE4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741F8142"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06B742BE"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3F8839AE"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6819AD1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3C112B6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79BA300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76D09BA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3BF081A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14A9D23C"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51F30BFB"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7B483923"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77AEC273"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0666B130"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2CA8383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4C8124D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116E3E6B"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4D5D563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10C0DFBC"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5253F6C7"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7A2F151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5BC37662"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1CC4FF9C"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319094</w:t>
            </w:r>
          </w:p>
        </w:tc>
        <w:tc>
          <w:tcPr>
            <w:tcW w:w="1520" w:type="dxa"/>
            <w:vMerge w:val="restart"/>
            <w:tcBorders>
              <w:top w:val="single" w:sz="4" w:space="0" w:color="000000"/>
              <w:left w:val="single" w:sz="4" w:space="0" w:color="000000"/>
              <w:bottom w:val="single" w:sz="4" w:space="0" w:color="000000"/>
            </w:tcBorders>
            <w:vAlign w:val="center"/>
          </w:tcPr>
          <w:p w14:paraId="4C8EBBF1"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Indenizações e restituições trabalhistas</w:t>
            </w:r>
          </w:p>
        </w:tc>
        <w:tc>
          <w:tcPr>
            <w:tcW w:w="360" w:type="dxa"/>
            <w:tcBorders>
              <w:top w:val="single" w:sz="4" w:space="0" w:color="000000"/>
              <w:left w:val="single" w:sz="4" w:space="0" w:color="000000"/>
              <w:bottom w:val="single" w:sz="4" w:space="0" w:color="000000"/>
            </w:tcBorders>
            <w:vAlign w:val="center"/>
          </w:tcPr>
          <w:p w14:paraId="1ACCF63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440DE0B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63728C5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3C7DF65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4760253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4E7FD4D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1915289B"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6F19DD62"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74A170A7"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706BBBD0"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7011123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59F4F1B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24E8FD2D"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1945741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1882D6B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6E7508B1"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1ADB6E0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29314019" w14:textId="77777777">
        <w:trPr>
          <w:cantSplit/>
          <w:trHeight w:val="392"/>
          <w:jc w:val="center"/>
        </w:trPr>
        <w:tc>
          <w:tcPr>
            <w:tcW w:w="720" w:type="dxa"/>
            <w:vMerge w:val="restart"/>
            <w:tcBorders>
              <w:top w:val="single" w:sz="4" w:space="0" w:color="000000"/>
              <w:left w:val="single" w:sz="4" w:space="0" w:color="000000"/>
              <w:bottom w:val="single" w:sz="4" w:space="0" w:color="000000"/>
            </w:tcBorders>
            <w:vAlign w:val="center"/>
          </w:tcPr>
          <w:p w14:paraId="4E4EF1AF"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339030</w:t>
            </w:r>
          </w:p>
        </w:tc>
        <w:tc>
          <w:tcPr>
            <w:tcW w:w="1520" w:type="dxa"/>
            <w:vMerge w:val="restart"/>
            <w:tcBorders>
              <w:top w:val="single" w:sz="4" w:space="0" w:color="000000"/>
              <w:left w:val="single" w:sz="4" w:space="0" w:color="000000"/>
              <w:bottom w:val="single" w:sz="4" w:space="0" w:color="000000"/>
            </w:tcBorders>
            <w:vAlign w:val="center"/>
          </w:tcPr>
          <w:p w14:paraId="459AB4CB"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Material de consumo</w:t>
            </w:r>
          </w:p>
        </w:tc>
        <w:tc>
          <w:tcPr>
            <w:tcW w:w="360" w:type="dxa"/>
            <w:tcBorders>
              <w:top w:val="single" w:sz="4" w:space="0" w:color="000000"/>
              <w:left w:val="single" w:sz="4" w:space="0" w:color="000000"/>
              <w:bottom w:val="single" w:sz="4" w:space="0" w:color="000000"/>
            </w:tcBorders>
            <w:vAlign w:val="center"/>
          </w:tcPr>
          <w:p w14:paraId="5B16B10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highlight w:val="yellow"/>
              </w:rPr>
            </w:pPr>
          </w:p>
        </w:tc>
        <w:tc>
          <w:tcPr>
            <w:tcW w:w="3140" w:type="dxa"/>
            <w:tcBorders>
              <w:top w:val="single" w:sz="4" w:space="0" w:color="000000"/>
              <w:left w:val="single" w:sz="4" w:space="0" w:color="000000"/>
              <w:bottom w:val="single" w:sz="4" w:space="0" w:color="000000"/>
            </w:tcBorders>
            <w:vAlign w:val="center"/>
          </w:tcPr>
          <w:p w14:paraId="1091445D"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2FF864D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6740BF9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3A0365B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2F60FC9C"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36C7C73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3E8E2924"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6174D9BE"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5AD245FB"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4FD3A6F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05B94A7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30699C6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5EA2F77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2CFC38F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63233AEB"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5998309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746F949C" w14:textId="77777777">
        <w:trPr>
          <w:cantSplit/>
          <w:trHeight w:val="392"/>
          <w:jc w:val="center"/>
        </w:trPr>
        <w:tc>
          <w:tcPr>
            <w:tcW w:w="720" w:type="dxa"/>
            <w:vMerge w:val="restart"/>
            <w:tcBorders>
              <w:top w:val="single" w:sz="4" w:space="0" w:color="000000"/>
              <w:left w:val="single" w:sz="4" w:space="0" w:color="000000"/>
              <w:bottom w:val="single" w:sz="4" w:space="0" w:color="000000"/>
            </w:tcBorders>
            <w:vAlign w:val="center"/>
          </w:tcPr>
          <w:p w14:paraId="6ECD1AB3"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lastRenderedPageBreak/>
              <w:t>339031</w:t>
            </w:r>
          </w:p>
        </w:tc>
        <w:tc>
          <w:tcPr>
            <w:tcW w:w="1520" w:type="dxa"/>
            <w:vMerge w:val="restart"/>
            <w:tcBorders>
              <w:top w:val="single" w:sz="4" w:space="0" w:color="000000"/>
              <w:left w:val="single" w:sz="4" w:space="0" w:color="000000"/>
              <w:bottom w:val="single" w:sz="4" w:space="0" w:color="000000"/>
            </w:tcBorders>
            <w:vAlign w:val="center"/>
          </w:tcPr>
          <w:p w14:paraId="4D862FF3"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Premiações culturais, artísticas, científicas, desportivas e outras</w:t>
            </w:r>
          </w:p>
        </w:tc>
        <w:tc>
          <w:tcPr>
            <w:tcW w:w="360" w:type="dxa"/>
            <w:tcBorders>
              <w:top w:val="single" w:sz="4" w:space="0" w:color="000000"/>
              <w:left w:val="single" w:sz="4" w:space="0" w:color="000000"/>
              <w:bottom w:val="single" w:sz="4" w:space="0" w:color="000000"/>
            </w:tcBorders>
            <w:vAlign w:val="center"/>
          </w:tcPr>
          <w:p w14:paraId="2FEA5EE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4D47DE1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59211E0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668AF44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7BC9FE9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0F37D20D"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6B81FA6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7CD2BF98"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77A50D32"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11F81FFE"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76F00B3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71EC3DA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0F066B3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044BE95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6F433F3D"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01DDED71"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39EAB94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1D89491B" w14:textId="77777777">
        <w:trPr>
          <w:cantSplit/>
          <w:trHeight w:val="348"/>
          <w:jc w:val="center"/>
        </w:trPr>
        <w:tc>
          <w:tcPr>
            <w:tcW w:w="720" w:type="dxa"/>
            <w:vMerge/>
            <w:tcBorders>
              <w:top w:val="single" w:sz="4" w:space="0" w:color="000000"/>
              <w:left w:val="single" w:sz="4" w:space="0" w:color="000000"/>
              <w:bottom w:val="single" w:sz="4" w:space="0" w:color="000000"/>
            </w:tcBorders>
            <w:vAlign w:val="center"/>
          </w:tcPr>
          <w:p w14:paraId="3C0D2327"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5F0A6F99"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2E68380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6F39DFD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1A4C6A7C"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009DDFC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439FA3A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tcBorders>
              <w:top w:val="single" w:sz="4" w:space="0" w:color="000000"/>
              <w:left w:val="single" w:sz="4" w:space="0" w:color="000000"/>
              <w:bottom w:val="single" w:sz="4" w:space="0" w:color="000000"/>
            </w:tcBorders>
          </w:tcPr>
          <w:p w14:paraId="5E54F70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7C95E54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2AA8A652"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36C65DC3"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339036</w:t>
            </w:r>
          </w:p>
        </w:tc>
        <w:tc>
          <w:tcPr>
            <w:tcW w:w="1520" w:type="dxa"/>
            <w:vMerge w:val="restart"/>
            <w:tcBorders>
              <w:top w:val="single" w:sz="4" w:space="0" w:color="000000"/>
              <w:left w:val="single" w:sz="4" w:space="0" w:color="000000"/>
              <w:bottom w:val="single" w:sz="4" w:space="0" w:color="000000"/>
            </w:tcBorders>
            <w:vAlign w:val="center"/>
          </w:tcPr>
          <w:p w14:paraId="7307CA38"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Outros serviços de terceiros – pessoa física</w:t>
            </w:r>
          </w:p>
        </w:tc>
        <w:tc>
          <w:tcPr>
            <w:tcW w:w="360" w:type="dxa"/>
            <w:tcBorders>
              <w:top w:val="single" w:sz="4" w:space="0" w:color="000000"/>
              <w:left w:val="single" w:sz="4" w:space="0" w:color="000000"/>
              <w:bottom w:val="single" w:sz="4" w:space="0" w:color="000000"/>
            </w:tcBorders>
            <w:vAlign w:val="center"/>
          </w:tcPr>
          <w:p w14:paraId="0CE5B20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62EB1E0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70EC569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35C40EAB"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3D73882B"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143BAF7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50C82E6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46FAC7FC"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23015229"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04B9B57B"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6373E73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7079A69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05F8832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29CC9E6D"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29E68FF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0D2DE4CE"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34AF5FCB"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1F5B2A50"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1DD6F533"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339037</w:t>
            </w:r>
          </w:p>
        </w:tc>
        <w:tc>
          <w:tcPr>
            <w:tcW w:w="1520" w:type="dxa"/>
            <w:vMerge w:val="restart"/>
            <w:tcBorders>
              <w:top w:val="single" w:sz="4" w:space="0" w:color="000000"/>
              <w:left w:val="single" w:sz="4" w:space="0" w:color="000000"/>
              <w:bottom w:val="single" w:sz="4" w:space="0" w:color="000000"/>
            </w:tcBorders>
            <w:vAlign w:val="center"/>
          </w:tcPr>
          <w:p w14:paraId="5A897985"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Locação de mão de obra</w:t>
            </w:r>
          </w:p>
        </w:tc>
        <w:tc>
          <w:tcPr>
            <w:tcW w:w="360" w:type="dxa"/>
            <w:tcBorders>
              <w:top w:val="single" w:sz="4" w:space="0" w:color="000000"/>
              <w:left w:val="single" w:sz="4" w:space="0" w:color="000000"/>
              <w:bottom w:val="single" w:sz="4" w:space="0" w:color="000000"/>
            </w:tcBorders>
            <w:vAlign w:val="center"/>
          </w:tcPr>
          <w:p w14:paraId="6707D4E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327FB03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6797B89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42927DA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08EB845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4E404C6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13BEF21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05CC8D24"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0773087F"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6319A3E9"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69B20F3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6EFD93B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1118567B"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6DBA6A5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238EC4FB"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37279359"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044C7FB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7056EEE1"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134F42A5"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339039</w:t>
            </w:r>
          </w:p>
        </w:tc>
        <w:tc>
          <w:tcPr>
            <w:tcW w:w="1520" w:type="dxa"/>
            <w:vMerge w:val="restart"/>
            <w:tcBorders>
              <w:top w:val="single" w:sz="4" w:space="0" w:color="000000"/>
              <w:left w:val="single" w:sz="4" w:space="0" w:color="000000"/>
              <w:bottom w:val="single" w:sz="4" w:space="0" w:color="000000"/>
            </w:tcBorders>
            <w:vAlign w:val="center"/>
          </w:tcPr>
          <w:p w14:paraId="62BC7FFE"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Outros serviços de terceiros - pessoa jurídica</w:t>
            </w:r>
          </w:p>
        </w:tc>
        <w:tc>
          <w:tcPr>
            <w:tcW w:w="360" w:type="dxa"/>
            <w:tcBorders>
              <w:top w:val="single" w:sz="4" w:space="0" w:color="000000"/>
              <w:left w:val="single" w:sz="4" w:space="0" w:color="000000"/>
              <w:bottom w:val="single" w:sz="4" w:space="0" w:color="000000"/>
            </w:tcBorders>
            <w:vAlign w:val="center"/>
          </w:tcPr>
          <w:p w14:paraId="74871B1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7E286B0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6F9E9B4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32B79B0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48C34A3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0702DE5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1417CE6D"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55FB14B9"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52173249"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5EF100CC"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5EB869A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63B8FEF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4B19E30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3B28791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1AB920A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4B263EDF"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1546BE3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0065C43F"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1C56DC85"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339046</w:t>
            </w:r>
          </w:p>
        </w:tc>
        <w:tc>
          <w:tcPr>
            <w:tcW w:w="1520" w:type="dxa"/>
            <w:vMerge w:val="restart"/>
            <w:tcBorders>
              <w:top w:val="single" w:sz="4" w:space="0" w:color="000000"/>
              <w:left w:val="single" w:sz="4" w:space="0" w:color="000000"/>
              <w:bottom w:val="single" w:sz="4" w:space="0" w:color="000000"/>
            </w:tcBorders>
            <w:vAlign w:val="center"/>
          </w:tcPr>
          <w:p w14:paraId="4B568F97"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Auxílio- alimentação</w:t>
            </w:r>
          </w:p>
        </w:tc>
        <w:tc>
          <w:tcPr>
            <w:tcW w:w="360" w:type="dxa"/>
            <w:tcBorders>
              <w:top w:val="single" w:sz="4" w:space="0" w:color="000000"/>
              <w:left w:val="single" w:sz="4" w:space="0" w:color="000000"/>
              <w:bottom w:val="single" w:sz="4" w:space="0" w:color="000000"/>
            </w:tcBorders>
            <w:vAlign w:val="center"/>
          </w:tcPr>
          <w:p w14:paraId="52CF735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7B87ADA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1F1D1D6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3AFEEF4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612E93B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52E4D4C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2FC3AA3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58D9876F"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5B264435"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66137C3F"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149260B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4E943E0B"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281CFA5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7ABDE83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6281D6A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2A1399C2"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4CFE74F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67744E04"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2C2DA283"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339047</w:t>
            </w:r>
          </w:p>
        </w:tc>
        <w:tc>
          <w:tcPr>
            <w:tcW w:w="1520" w:type="dxa"/>
            <w:vMerge w:val="restart"/>
            <w:tcBorders>
              <w:top w:val="single" w:sz="4" w:space="0" w:color="000000"/>
              <w:left w:val="single" w:sz="4" w:space="0" w:color="000000"/>
              <w:bottom w:val="single" w:sz="4" w:space="0" w:color="000000"/>
            </w:tcBorders>
            <w:vAlign w:val="center"/>
          </w:tcPr>
          <w:p w14:paraId="6DC058B9"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 xml:space="preserve">Obrigações tributárias e contributivas </w:t>
            </w:r>
          </w:p>
        </w:tc>
        <w:tc>
          <w:tcPr>
            <w:tcW w:w="360" w:type="dxa"/>
            <w:tcBorders>
              <w:top w:val="single" w:sz="4" w:space="0" w:color="000000"/>
              <w:left w:val="single" w:sz="4" w:space="0" w:color="000000"/>
              <w:bottom w:val="single" w:sz="4" w:space="0" w:color="000000"/>
            </w:tcBorders>
            <w:vAlign w:val="center"/>
          </w:tcPr>
          <w:p w14:paraId="0718A8F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5816099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607A5F6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51AB278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2E17F42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67FD758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01925FDD"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380F3455"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73E1DA26"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3A7AE249"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1747D56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39D188F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36800AF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6931E8D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3ABE800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3941A8E4"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26F8F65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639A8098"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3A577AB8"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339049</w:t>
            </w:r>
          </w:p>
        </w:tc>
        <w:tc>
          <w:tcPr>
            <w:tcW w:w="1520" w:type="dxa"/>
            <w:vMerge w:val="restart"/>
            <w:tcBorders>
              <w:top w:val="single" w:sz="4" w:space="0" w:color="000000"/>
              <w:left w:val="single" w:sz="4" w:space="0" w:color="000000"/>
              <w:bottom w:val="single" w:sz="4" w:space="0" w:color="000000"/>
            </w:tcBorders>
            <w:vAlign w:val="center"/>
          </w:tcPr>
          <w:p w14:paraId="490BB684"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Auxílio transporte</w:t>
            </w:r>
          </w:p>
        </w:tc>
        <w:tc>
          <w:tcPr>
            <w:tcW w:w="360" w:type="dxa"/>
            <w:tcBorders>
              <w:top w:val="single" w:sz="4" w:space="0" w:color="000000"/>
              <w:left w:val="single" w:sz="4" w:space="0" w:color="000000"/>
              <w:bottom w:val="single" w:sz="4" w:space="0" w:color="000000"/>
            </w:tcBorders>
            <w:vAlign w:val="center"/>
          </w:tcPr>
          <w:p w14:paraId="6165BF5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176A6132"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671F86E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3F87B15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53AB843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75FC067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60923224"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3CDF8512"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3944282D"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06C621D7"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7A0CE04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5B045C2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5150411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0EDD47E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5A1B2B4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5F580088"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4E19550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2A5B65AC"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6600DEBA"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449051</w:t>
            </w:r>
          </w:p>
        </w:tc>
        <w:tc>
          <w:tcPr>
            <w:tcW w:w="1520" w:type="dxa"/>
            <w:vMerge w:val="restart"/>
            <w:tcBorders>
              <w:top w:val="single" w:sz="4" w:space="0" w:color="000000"/>
              <w:left w:val="single" w:sz="4" w:space="0" w:color="000000"/>
              <w:bottom w:val="single" w:sz="4" w:space="0" w:color="000000"/>
            </w:tcBorders>
            <w:vAlign w:val="center"/>
          </w:tcPr>
          <w:p w14:paraId="4A6D6195"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Obras e instalações</w:t>
            </w:r>
          </w:p>
        </w:tc>
        <w:tc>
          <w:tcPr>
            <w:tcW w:w="360" w:type="dxa"/>
            <w:tcBorders>
              <w:top w:val="single" w:sz="4" w:space="0" w:color="000000"/>
              <w:left w:val="single" w:sz="4" w:space="0" w:color="000000"/>
              <w:bottom w:val="single" w:sz="4" w:space="0" w:color="000000"/>
            </w:tcBorders>
            <w:vAlign w:val="center"/>
          </w:tcPr>
          <w:p w14:paraId="61456D1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3F75FA2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2C0A3688"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1EDAD82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4CA1F97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7CED6DF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3BA0FECA"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1DCDD409"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0F584C9B"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497F96F9"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3ECF9EE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3E10ED7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2A72183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7617BBBC"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078A1FA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58EBE835"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6D382419"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4A735CAF" w14:textId="77777777">
        <w:trPr>
          <w:cantSplit/>
          <w:trHeight w:val="348"/>
          <w:jc w:val="center"/>
        </w:trPr>
        <w:tc>
          <w:tcPr>
            <w:tcW w:w="720" w:type="dxa"/>
            <w:vMerge w:val="restart"/>
            <w:tcBorders>
              <w:top w:val="single" w:sz="4" w:space="0" w:color="000000"/>
              <w:left w:val="single" w:sz="4" w:space="0" w:color="000000"/>
              <w:bottom w:val="single" w:sz="4" w:space="0" w:color="000000"/>
            </w:tcBorders>
            <w:vAlign w:val="center"/>
          </w:tcPr>
          <w:p w14:paraId="7C4C27F8"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449052</w:t>
            </w:r>
          </w:p>
        </w:tc>
        <w:tc>
          <w:tcPr>
            <w:tcW w:w="1520" w:type="dxa"/>
            <w:vMerge w:val="restart"/>
            <w:tcBorders>
              <w:top w:val="single" w:sz="4" w:space="0" w:color="000000"/>
              <w:left w:val="single" w:sz="4" w:space="0" w:color="000000"/>
              <w:bottom w:val="single" w:sz="4" w:space="0" w:color="000000"/>
            </w:tcBorders>
            <w:vAlign w:val="center"/>
          </w:tcPr>
          <w:p w14:paraId="10A658F9"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sz w:val="18"/>
                <w:szCs w:val="18"/>
              </w:rPr>
              <w:t>Equipamentos e material permanente</w:t>
            </w:r>
          </w:p>
        </w:tc>
        <w:tc>
          <w:tcPr>
            <w:tcW w:w="360" w:type="dxa"/>
            <w:tcBorders>
              <w:top w:val="single" w:sz="4" w:space="0" w:color="000000"/>
              <w:left w:val="single" w:sz="4" w:space="0" w:color="000000"/>
              <w:bottom w:val="single" w:sz="4" w:space="0" w:color="000000"/>
            </w:tcBorders>
            <w:vAlign w:val="center"/>
          </w:tcPr>
          <w:p w14:paraId="58AFEFF1"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7094E63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1B4FA00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58BABEE6"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0F3A6AA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val="restart"/>
            <w:tcBorders>
              <w:top w:val="single" w:sz="4" w:space="0" w:color="000000"/>
              <w:left w:val="single" w:sz="4" w:space="0" w:color="000000"/>
              <w:bottom w:val="single" w:sz="4" w:space="0" w:color="000000"/>
            </w:tcBorders>
            <w:vAlign w:val="center"/>
          </w:tcPr>
          <w:p w14:paraId="4F1A4E2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3F340A1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305687B3" w14:textId="77777777">
        <w:trPr>
          <w:cantSplit/>
          <w:trHeight w:val="145"/>
          <w:jc w:val="center"/>
        </w:trPr>
        <w:tc>
          <w:tcPr>
            <w:tcW w:w="720" w:type="dxa"/>
            <w:vMerge/>
            <w:tcBorders>
              <w:top w:val="single" w:sz="4" w:space="0" w:color="000000"/>
              <w:left w:val="single" w:sz="4" w:space="0" w:color="000000"/>
              <w:bottom w:val="single" w:sz="4" w:space="0" w:color="000000"/>
            </w:tcBorders>
            <w:vAlign w:val="center"/>
          </w:tcPr>
          <w:p w14:paraId="46B780FD" w14:textId="77777777" w:rsidR="001B767A" w:rsidRDefault="001B767A">
            <w:pPr>
              <w:spacing w:line="276" w:lineRule="auto"/>
              <w:ind w:left="0" w:hanging="2"/>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tcBorders>
            <w:vAlign w:val="center"/>
          </w:tcPr>
          <w:p w14:paraId="08DC3478" w14:textId="77777777" w:rsidR="001B767A" w:rsidRDefault="001B767A">
            <w:pPr>
              <w:spacing w:line="276" w:lineRule="auto"/>
              <w:ind w:left="0" w:hanging="2"/>
              <w:rPr>
                <w:rFonts w:ascii="Times New Roman" w:eastAsia="Times New Roman" w:hAnsi="Times New Roman" w:cs="Times New Roman"/>
                <w:sz w:val="20"/>
                <w:szCs w:val="20"/>
              </w:rPr>
            </w:pPr>
          </w:p>
        </w:tc>
        <w:tc>
          <w:tcPr>
            <w:tcW w:w="360" w:type="dxa"/>
            <w:tcBorders>
              <w:top w:val="single" w:sz="4" w:space="0" w:color="000000"/>
              <w:left w:val="single" w:sz="4" w:space="0" w:color="000000"/>
              <w:bottom w:val="single" w:sz="4" w:space="0" w:color="000000"/>
            </w:tcBorders>
            <w:vAlign w:val="center"/>
          </w:tcPr>
          <w:p w14:paraId="02D588CF"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3140" w:type="dxa"/>
            <w:tcBorders>
              <w:top w:val="single" w:sz="4" w:space="0" w:color="000000"/>
              <w:left w:val="single" w:sz="4" w:space="0" w:color="000000"/>
              <w:bottom w:val="single" w:sz="4" w:space="0" w:color="000000"/>
            </w:tcBorders>
            <w:vAlign w:val="center"/>
          </w:tcPr>
          <w:p w14:paraId="54EE1CED"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20" w:type="dxa"/>
            <w:tcBorders>
              <w:top w:val="single" w:sz="4" w:space="0" w:color="000000"/>
              <w:left w:val="single" w:sz="4" w:space="0" w:color="000000"/>
              <w:bottom w:val="single" w:sz="4" w:space="0" w:color="000000"/>
            </w:tcBorders>
          </w:tcPr>
          <w:p w14:paraId="4DD8A4FD"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1000" w:type="dxa"/>
            <w:tcBorders>
              <w:top w:val="single" w:sz="4" w:space="0" w:color="000000"/>
              <w:left w:val="single" w:sz="4" w:space="0" w:color="000000"/>
              <w:bottom w:val="single" w:sz="4" w:space="0" w:color="000000"/>
            </w:tcBorders>
            <w:vAlign w:val="center"/>
          </w:tcPr>
          <w:p w14:paraId="0B3E562E"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40" w:type="dxa"/>
            <w:tcBorders>
              <w:top w:val="single" w:sz="4" w:space="0" w:color="000000"/>
              <w:left w:val="single" w:sz="4" w:space="0" w:color="000000"/>
              <w:bottom w:val="single" w:sz="4" w:space="0" w:color="000000"/>
            </w:tcBorders>
          </w:tcPr>
          <w:p w14:paraId="717CD523"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vMerge/>
            <w:tcBorders>
              <w:top w:val="single" w:sz="4" w:space="0" w:color="000000"/>
              <w:left w:val="single" w:sz="4" w:space="0" w:color="000000"/>
              <w:bottom w:val="single" w:sz="4" w:space="0" w:color="000000"/>
            </w:tcBorders>
            <w:vAlign w:val="center"/>
          </w:tcPr>
          <w:p w14:paraId="5D0982EB" w14:textId="77777777" w:rsidR="001B767A" w:rsidRDefault="001B767A">
            <w:pPr>
              <w:spacing w:line="276" w:lineRule="auto"/>
              <w:ind w:left="0" w:hanging="2"/>
              <w:rPr>
                <w:rFonts w:ascii="Times New Roman" w:eastAsia="Times New Roman" w:hAnsi="Times New Roman" w:cs="Times New Roman"/>
                <w:sz w:val="20"/>
                <w:szCs w:val="20"/>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50F05E17"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r w:rsidR="001B767A" w14:paraId="1753DFD1" w14:textId="77777777">
        <w:trPr>
          <w:trHeight w:val="145"/>
          <w:jc w:val="center"/>
        </w:trPr>
        <w:tc>
          <w:tcPr>
            <w:tcW w:w="7660" w:type="dxa"/>
            <w:gridSpan w:val="6"/>
            <w:tcBorders>
              <w:top w:val="single" w:sz="4" w:space="0" w:color="000000"/>
              <w:left w:val="single" w:sz="4" w:space="0" w:color="000000"/>
              <w:bottom w:val="single" w:sz="4" w:space="0" w:color="000000"/>
            </w:tcBorders>
            <w:shd w:val="clear" w:color="auto" w:fill="D9D9D9"/>
            <w:vAlign w:val="center"/>
          </w:tcPr>
          <w:p w14:paraId="02A0B4B9" w14:textId="77777777" w:rsidR="001B767A" w:rsidRDefault="00EC4D80">
            <w:pPr>
              <w:tabs>
                <w:tab w:val="left" w:pos="284"/>
                <w:tab w:val="left" w:pos="851"/>
              </w:tabs>
              <w:spacing w:before="60" w:after="60"/>
              <w:ind w:left="0" w:hanging="2"/>
              <w:jc w:val="center"/>
              <w:rPr>
                <w:sz w:val="22"/>
                <w:szCs w:val="22"/>
              </w:rPr>
            </w:pPr>
            <w:r>
              <w:rPr>
                <w:rFonts w:ascii="Times New Roman" w:eastAsia="Times New Roman" w:hAnsi="Times New Roman" w:cs="Times New Roman"/>
                <w:b/>
                <w:sz w:val="18"/>
                <w:szCs w:val="18"/>
              </w:rPr>
              <w:t>TOTAL</w:t>
            </w:r>
          </w:p>
        </w:tc>
        <w:tc>
          <w:tcPr>
            <w:tcW w:w="940" w:type="dxa"/>
            <w:tcBorders>
              <w:top w:val="single" w:sz="4" w:space="0" w:color="000000"/>
              <w:left w:val="single" w:sz="4" w:space="0" w:color="000000"/>
              <w:bottom w:val="single" w:sz="4" w:space="0" w:color="000000"/>
            </w:tcBorders>
            <w:shd w:val="clear" w:color="auto" w:fill="FFFFFF"/>
          </w:tcPr>
          <w:p w14:paraId="6A41D6C0"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00" w:type="dxa"/>
            <w:tcBorders>
              <w:top w:val="single" w:sz="4" w:space="0" w:color="000000"/>
              <w:left w:val="single" w:sz="4" w:space="0" w:color="000000"/>
              <w:bottom w:val="single" w:sz="4" w:space="0" w:color="000000"/>
            </w:tcBorders>
            <w:shd w:val="clear" w:color="auto" w:fill="FFFFFF"/>
          </w:tcPr>
          <w:p w14:paraId="7AD870C5"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6B316C" w14:textId="77777777" w:rsidR="001B767A" w:rsidRDefault="001B767A">
            <w:pPr>
              <w:tabs>
                <w:tab w:val="left" w:pos="284"/>
                <w:tab w:val="left" w:pos="851"/>
              </w:tabs>
              <w:spacing w:before="60" w:after="60"/>
              <w:ind w:left="0" w:hanging="2"/>
              <w:jc w:val="center"/>
              <w:rPr>
                <w:rFonts w:ascii="Times New Roman" w:eastAsia="Times New Roman" w:hAnsi="Times New Roman" w:cs="Times New Roman"/>
                <w:sz w:val="18"/>
                <w:szCs w:val="18"/>
              </w:rPr>
            </w:pPr>
          </w:p>
        </w:tc>
      </w:tr>
    </w:tbl>
    <w:p w14:paraId="07BE17C4" w14:textId="77777777" w:rsidR="001B767A" w:rsidRDefault="001B767A">
      <w:pPr>
        <w:ind w:left="0" w:hanging="2"/>
        <w:jc w:val="both"/>
        <w:rPr>
          <w:rFonts w:ascii="Times New Roman" w:eastAsia="Times New Roman" w:hAnsi="Times New Roman" w:cs="Times New Roman"/>
          <w:b/>
          <w:sz w:val="20"/>
          <w:szCs w:val="20"/>
        </w:rPr>
        <w:sectPr w:rsidR="001B767A">
          <w:pgSz w:w="16840" w:h="11907" w:orient="landscape"/>
          <w:pgMar w:top="1418" w:right="567" w:bottom="851" w:left="567" w:header="284" w:footer="284" w:gutter="0"/>
          <w:cols w:space="720"/>
        </w:sectPr>
      </w:pPr>
    </w:p>
    <w:p w14:paraId="4ED4ADBB" w14:textId="77777777" w:rsidR="00331608" w:rsidRDefault="00331608">
      <w:pPr>
        <w:ind w:left="0" w:hanging="2"/>
        <w:jc w:val="both"/>
        <w:rPr>
          <w:rFonts w:ascii="Times New Roman" w:eastAsia="Times New Roman" w:hAnsi="Times New Roman" w:cs="Times New Roman"/>
          <w:b/>
          <w:sz w:val="20"/>
          <w:szCs w:val="20"/>
        </w:rPr>
      </w:pPr>
    </w:p>
    <w:p w14:paraId="08E5F22C" w14:textId="77777777" w:rsidR="00331608" w:rsidRDefault="00331608">
      <w:pPr>
        <w:ind w:left="0" w:hanging="2"/>
        <w:jc w:val="both"/>
        <w:rPr>
          <w:rFonts w:ascii="Times New Roman" w:eastAsia="Times New Roman" w:hAnsi="Times New Roman" w:cs="Times New Roman"/>
          <w:b/>
          <w:sz w:val="20"/>
          <w:szCs w:val="20"/>
        </w:rPr>
      </w:pPr>
    </w:p>
    <w:p w14:paraId="22A26E95" w14:textId="5019CD4D" w:rsidR="001B767A" w:rsidRPr="00927DBF" w:rsidRDefault="00EC4D80">
      <w:pPr>
        <w:ind w:left="0" w:hanging="2"/>
        <w:jc w:val="both"/>
        <w:rPr>
          <w:rFonts w:ascii="Times New Roman" w:eastAsia="Times New Roman" w:hAnsi="Times New Roman" w:cs="Times New Roman"/>
          <w:b/>
          <w:sz w:val="20"/>
          <w:szCs w:val="20"/>
        </w:rPr>
      </w:pPr>
      <w:r w:rsidRPr="00927DBF">
        <w:rPr>
          <w:rFonts w:ascii="Times New Roman" w:eastAsia="Times New Roman" w:hAnsi="Times New Roman" w:cs="Times New Roman"/>
          <w:b/>
          <w:sz w:val="20"/>
          <w:szCs w:val="20"/>
        </w:rPr>
        <w:t>LEIA-SE:</w:t>
      </w:r>
    </w:p>
    <w:p w14:paraId="4C78FC55" w14:textId="4C2D62CE" w:rsidR="001B767A" w:rsidRPr="00927DBF" w:rsidRDefault="00EC4D80" w:rsidP="00F0306F">
      <w:pPr>
        <w:spacing w:before="60" w:after="60"/>
        <w:ind w:left="0" w:hanging="2"/>
        <w:jc w:val="both"/>
        <w:rPr>
          <w:rFonts w:ascii="Times New Roman" w:eastAsia="Times New Roman" w:hAnsi="Times New Roman" w:cs="Times New Roman"/>
          <w:sz w:val="20"/>
          <w:szCs w:val="20"/>
        </w:rPr>
      </w:pPr>
      <w:bookmarkStart w:id="5" w:name="_Hlk185339994"/>
      <w:r w:rsidRPr="00927DBF">
        <w:rPr>
          <w:rFonts w:ascii="Times New Roman" w:eastAsia="Times New Roman" w:hAnsi="Times New Roman" w:cs="Times New Roman"/>
          <w:sz w:val="20"/>
          <w:szCs w:val="20"/>
        </w:rPr>
        <w:t>O modelo de planilha apresentado no Anexo III, Plano de Trabalho, Anexo I, denominada PREVISÃO DE DESPESAS</w:t>
      </w:r>
      <w:r w:rsidR="00F0306F">
        <w:rPr>
          <w:rFonts w:ascii="Times New Roman" w:eastAsia="Times New Roman" w:hAnsi="Times New Roman" w:cs="Times New Roman"/>
          <w:sz w:val="20"/>
          <w:szCs w:val="20"/>
        </w:rPr>
        <w:t xml:space="preserve"> -</w:t>
      </w:r>
      <w:r w:rsidRPr="00927DBF">
        <w:rPr>
          <w:rFonts w:ascii="Times New Roman" w:eastAsia="Times New Roman" w:hAnsi="Times New Roman" w:cs="Times New Roman"/>
          <w:sz w:val="20"/>
          <w:szCs w:val="20"/>
        </w:rPr>
        <w:t xml:space="preserve"> Informações Consolidadas por Natureza de Despesas</w:t>
      </w:r>
      <w:r w:rsidR="00F0306F">
        <w:rPr>
          <w:rFonts w:ascii="Times New Roman" w:eastAsia="Times New Roman" w:hAnsi="Times New Roman" w:cs="Times New Roman"/>
          <w:sz w:val="20"/>
          <w:szCs w:val="20"/>
        </w:rPr>
        <w:t xml:space="preserve"> e </w:t>
      </w:r>
      <w:r w:rsidR="00F0306F" w:rsidRPr="00F0306F">
        <w:rPr>
          <w:rFonts w:ascii="Times New Roman" w:eastAsia="Times New Roman" w:hAnsi="Times New Roman" w:cs="Times New Roman"/>
          <w:sz w:val="20"/>
          <w:szCs w:val="20"/>
        </w:rPr>
        <w:t>Informações detalhadas da previsão de despesas</w:t>
      </w:r>
      <w:r w:rsidRPr="00927DBF">
        <w:rPr>
          <w:rFonts w:ascii="Times New Roman" w:eastAsia="Times New Roman" w:hAnsi="Times New Roman" w:cs="Times New Roman"/>
          <w:sz w:val="20"/>
          <w:szCs w:val="20"/>
        </w:rPr>
        <w:t>, passa</w:t>
      </w:r>
      <w:r w:rsidR="002075AF">
        <w:rPr>
          <w:rFonts w:ascii="Times New Roman" w:eastAsia="Times New Roman" w:hAnsi="Times New Roman" w:cs="Times New Roman"/>
          <w:sz w:val="20"/>
          <w:szCs w:val="20"/>
        </w:rPr>
        <w:t>m</w:t>
      </w:r>
      <w:r w:rsidRPr="00927DBF">
        <w:rPr>
          <w:rFonts w:ascii="Times New Roman" w:eastAsia="Times New Roman" w:hAnsi="Times New Roman" w:cs="Times New Roman"/>
          <w:sz w:val="20"/>
          <w:szCs w:val="20"/>
        </w:rPr>
        <w:t xml:space="preserve"> a ser substituído</w:t>
      </w:r>
      <w:r w:rsidR="002075AF">
        <w:rPr>
          <w:rFonts w:ascii="Times New Roman" w:eastAsia="Times New Roman" w:hAnsi="Times New Roman" w:cs="Times New Roman"/>
          <w:sz w:val="20"/>
          <w:szCs w:val="20"/>
        </w:rPr>
        <w:t>s</w:t>
      </w:r>
      <w:r w:rsidRPr="00927DBF">
        <w:rPr>
          <w:rFonts w:ascii="Times New Roman" w:eastAsia="Times New Roman" w:hAnsi="Times New Roman" w:cs="Times New Roman"/>
          <w:sz w:val="20"/>
          <w:szCs w:val="20"/>
        </w:rPr>
        <w:t xml:space="preserve"> pelo</w:t>
      </w:r>
      <w:r w:rsidR="00F0306F">
        <w:rPr>
          <w:rFonts w:ascii="Times New Roman" w:eastAsia="Times New Roman" w:hAnsi="Times New Roman" w:cs="Times New Roman"/>
          <w:sz w:val="20"/>
          <w:szCs w:val="20"/>
        </w:rPr>
        <w:t>s anexos:</w:t>
      </w:r>
      <w:r w:rsidR="004F5F75">
        <w:rPr>
          <w:rFonts w:ascii="Times New Roman" w:eastAsia="Times New Roman" w:hAnsi="Times New Roman" w:cs="Times New Roman"/>
          <w:sz w:val="20"/>
          <w:szCs w:val="20"/>
        </w:rPr>
        <w:t xml:space="preserve"> </w:t>
      </w:r>
      <w:r w:rsidR="00F0306F">
        <w:rPr>
          <w:rFonts w:ascii="Times New Roman" w:eastAsia="Times New Roman" w:hAnsi="Times New Roman" w:cs="Times New Roman"/>
          <w:sz w:val="20"/>
          <w:szCs w:val="20"/>
        </w:rPr>
        <w:t>Anexo – Planilha Orçamentária e Anexo – Planilha Orçamentária Detalhada</w:t>
      </w:r>
      <w:r w:rsidR="00B75D2B">
        <w:rPr>
          <w:rFonts w:ascii="Times New Roman" w:eastAsia="Times New Roman" w:hAnsi="Times New Roman" w:cs="Times New Roman"/>
          <w:sz w:val="20"/>
          <w:szCs w:val="20"/>
        </w:rPr>
        <w:t>, ambos</w:t>
      </w:r>
      <w:r w:rsidR="00F0306F">
        <w:rPr>
          <w:rFonts w:ascii="Times New Roman" w:eastAsia="Times New Roman" w:hAnsi="Times New Roman" w:cs="Times New Roman"/>
          <w:sz w:val="20"/>
          <w:szCs w:val="20"/>
        </w:rPr>
        <w:t xml:space="preserve"> </w:t>
      </w:r>
      <w:r w:rsidRPr="00927DBF">
        <w:rPr>
          <w:rFonts w:ascii="Times New Roman" w:eastAsia="Times New Roman" w:hAnsi="Times New Roman" w:cs="Times New Roman"/>
          <w:sz w:val="20"/>
          <w:szCs w:val="20"/>
        </w:rPr>
        <w:t xml:space="preserve">em extensão de arquivo </w:t>
      </w:r>
      <w:proofErr w:type="spellStart"/>
      <w:r w:rsidRPr="00927DBF">
        <w:rPr>
          <w:rFonts w:ascii="Times New Roman" w:eastAsia="Times New Roman" w:hAnsi="Times New Roman" w:cs="Times New Roman"/>
          <w:sz w:val="20"/>
          <w:szCs w:val="20"/>
        </w:rPr>
        <w:t>excel</w:t>
      </w:r>
      <w:proofErr w:type="spellEnd"/>
      <w:r w:rsidRPr="00927DBF">
        <w:rPr>
          <w:rFonts w:ascii="Times New Roman" w:eastAsia="Times New Roman" w:hAnsi="Times New Roman" w:cs="Times New Roman"/>
          <w:sz w:val="20"/>
          <w:szCs w:val="20"/>
        </w:rPr>
        <w:t xml:space="preserve"> (</w:t>
      </w:r>
      <w:proofErr w:type="spellStart"/>
      <w:r w:rsidRPr="00927DBF">
        <w:rPr>
          <w:rFonts w:ascii="Times New Roman" w:eastAsia="Times New Roman" w:hAnsi="Times New Roman" w:cs="Times New Roman"/>
          <w:sz w:val="20"/>
          <w:szCs w:val="20"/>
        </w:rPr>
        <w:t>xlsx</w:t>
      </w:r>
      <w:proofErr w:type="spellEnd"/>
      <w:r w:rsidRPr="00927DBF">
        <w:rPr>
          <w:rFonts w:ascii="Times New Roman" w:eastAsia="Times New Roman" w:hAnsi="Times New Roman" w:cs="Times New Roman"/>
          <w:sz w:val="20"/>
          <w:szCs w:val="20"/>
        </w:rPr>
        <w:t xml:space="preserve">). </w:t>
      </w:r>
    </w:p>
    <w:bookmarkEnd w:id="5"/>
    <w:p w14:paraId="5875172E" w14:textId="77777777" w:rsidR="001B767A" w:rsidRPr="00927DBF" w:rsidRDefault="001B767A">
      <w:pPr>
        <w:ind w:left="0" w:hanging="2"/>
        <w:jc w:val="both"/>
        <w:rPr>
          <w:rFonts w:ascii="Times New Roman" w:eastAsia="Times New Roman" w:hAnsi="Times New Roman" w:cs="Times New Roman"/>
          <w:b/>
          <w:sz w:val="20"/>
          <w:szCs w:val="20"/>
        </w:rPr>
      </w:pPr>
    </w:p>
    <w:p w14:paraId="1F07126F" w14:textId="77777777" w:rsidR="001B767A" w:rsidRPr="00927DBF" w:rsidRDefault="001B767A">
      <w:pPr>
        <w:ind w:left="0" w:hanging="2"/>
        <w:jc w:val="both"/>
        <w:rPr>
          <w:rFonts w:ascii="Times New Roman" w:eastAsia="Times New Roman" w:hAnsi="Times New Roman" w:cs="Times New Roman"/>
          <w:b/>
          <w:sz w:val="20"/>
          <w:szCs w:val="20"/>
        </w:rPr>
      </w:pPr>
    </w:p>
    <w:p w14:paraId="6D5AF42E" w14:textId="4FE75209" w:rsidR="001B767A" w:rsidRPr="00927DBF" w:rsidRDefault="00EC4D80">
      <w:pPr>
        <w:ind w:left="0" w:hanging="2"/>
        <w:jc w:val="both"/>
        <w:rPr>
          <w:rFonts w:ascii="Times New Roman" w:eastAsia="Times New Roman" w:hAnsi="Times New Roman" w:cs="Times New Roman"/>
          <w:sz w:val="20"/>
          <w:szCs w:val="20"/>
        </w:rPr>
      </w:pPr>
      <w:proofErr w:type="spellStart"/>
      <w:r w:rsidRPr="00927DBF">
        <w:rPr>
          <w:rFonts w:ascii="Times New Roman" w:eastAsia="Times New Roman" w:hAnsi="Times New Roman" w:cs="Times New Roman"/>
          <w:b/>
          <w:sz w:val="20"/>
          <w:szCs w:val="20"/>
        </w:rPr>
        <w:t>xvii</w:t>
      </w:r>
      <w:proofErr w:type="spellEnd"/>
      <w:r w:rsidRPr="00927DBF">
        <w:rPr>
          <w:rFonts w:ascii="Times New Roman" w:eastAsia="Times New Roman" w:hAnsi="Times New Roman" w:cs="Times New Roman"/>
          <w:b/>
          <w:sz w:val="20"/>
          <w:szCs w:val="20"/>
        </w:rPr>
        <w:t>. No Anexo IX do edital, MINUTA DE TERMO DE COLABORAÇÃO, na CLÁUSULA PRIMEIRA – DO OBJETO, fica excluído o item 1.3.</w:t>
      </w:r>
    </w:p>
    <w:p w14:paraId="555669F8" w14:textId="77777777" w:rsidR="001B767A" w:rsidRPr="00927DBF" w:rsidRDefault="001B767A">
      <w:pPr>
        <w:ind w:left="0" w:hanging="2"/>
        <w:jc w:val="both"/>
        <w:rPr>
          <w:rFonts w:ascii="Times New Roman" w:eastAsia="Times New Roman" w:hAnsi="Times New Roman" w:cs="Times New Roman"/>
          <w:sz w:val="20"/>
          <w:szCs w:val="20"/>
        </w:rPr>
      </w:pPr>
    </w:p>
    <w:p w14:paraId="6F2C203D" w14:textId="77777777" w:rsidR="001B767A" w:rsidRPr="00927DBF" w:rsidRDefault="001B767A">
      <w:pPr>
        <w:ind w:left="0" w:hanging="2"/>
        <w:jc w:val="both"/>
        <w:rPr>
          <w:rFonts w:ascii="Times New Roman" w:eastAsia="Times New Roman" w:hAnsi="Times New Roman" w:cs="Times New Roman"/>
          <w:sz w:val="20"/>
          <w:szCs w:val="20"/>
        </w:rPr>
      </w:pPr>
    </w:p>
    <w:p w14:paraId="0ADDB980" w14:textId="18AFEE65" w:rsidR="001B767A" w:rsidRPr="00927DBF" w:rsidRDefault="00EC4D80">
      <w:pPr>
        <w:ind w:left="0" w:hanging="2"/>
        <w:jc w:val="both"/>
        <w:rPr>
          <w:rFonts w:ascii="Times New Roman" w:eastAsia="Times New Roman" w:hAnsi="Times New Roman" w:cs="Times New Roman"/>
          <w:b/>
          <w:sz w:val="20"/>
          <w:szCs w:val="20"/>
        </w:rPr>
      </w:pPr>
      <w:proofErr w:type="spellStart"/>
      <w:r w:rsidRPr="00927DBF">
        <w:rPr>
          <w:rFonts w:ascii="Times New Roman" w:eastAsia="Times New Roman" w:hAnsi="Times New Roman" w:cs="Times New Roman"/>
          <w:b/>
          <w:sz w:val="20"/>
          <w:szCs w:val="20"/>
        </w:rPr>
        <w:t>x</w:t>
      </w:r>
      <w:r w:rsidR="00D47F1E">
        <w:rPr>
          <w:rFonts w:ascii="Times New Roman" w:eastAsia="Times New Roman" w:hAnsi="Times New Roman" w:cs="Times New Roman"/>
          <w:b/>
          <w:sz w:val="20"/>
          <w:szCs w:val="20"/>
        </w:rPr>
        <w:t>viii</w:t>
      </w:r>
      <w:proofErr w:type="spellEnd"/>
      <w:r w:rsidRPr="00927DBF">
        <w:rPr>
          <w:rFonts w:ascii="Times New Roman" w:eastAsia="Times New Roman" w:hAnsi="Times New Roman" w:cs="Times New Roman"/>
          <w:b/>
          <w:sz w:val="20"/>
          <w:szCs w:val="20"/>
        </w:rPr>
        <w:t xml:space="preserve">. </w:t>
      </w:r>
      <w:r w:rsidR="00D47F1E" w:rsidRPr="00D47F1E">
        <w:rPr>
          <w:rFonts w:ascii="Times New Roman" w:eastAsia="Times New Roman" w:hAnsi="Times New Roman" w:cs="Times New Roman"/>
          <w:b/>
          <w:sz w:val="20"/>
          <w:szCs w:val="20"/>
        </w:rPr>
        <w:t>No Anexo IX do edital, MINUTA DO TERMO DE COLABORAÇÃO, na CLÁUSULA SEGUNDA - DAS OBRIGAÇÕES DOS PARCEIROS, o item 2.3, sobre as obrigações da OSC, passa a ser acrescido do seguinte dispositivo:</w:t>
      </w:r>
    </w:p>
    <w:p w14:paraId="7722285B" w14:textId="77777777" w:rsidR="001B767A" w:rsidRPr="00927DBF" w:rsidRDefault="00EC4D80">
      <w:pPr>
        <w:spacing w:before="60" w:after="60"/>
        <w:ind w:left="0" w:hanging="2"/>
        <w:jc w:val="both"/>
        <w:rPr>
          <w:rFonts w:ascii="Times New Roman" w:eastAsia="Times New Roman" w:hAnsi="Times New Roman" w:cs="Times New Roman"/>
          <w:sz w:val="20"/>
          <w:szCs w:val="20"/>
        </w:rPr>
      </w:pPr>
      <w:bookmarkStart w:id="6" w:name="_Hlk185340725"/>
      <w:r w:rsidRPr="00927DBF">
        <w:rPr>
          <w:rFonts w:ascii="Times New Roman" w:eastAsia="Times New Roman" w:hAnsi="Times New Roman" w:cs="Times New Roman"/>
          <w:b/>
          <w:sz w:val="20"/>
          <w:szCs w:val="20"/>
        </w:rPr>
        <w:t>XL -</w:t>
      </w:r>
      <w:r w:rsidRPr="00927DBF">
        <w:rPr>
          <w:rFonts w:ascii="Times New Roman" w:eastAsia="Times New Roman" w:hAnsi="Times New Roman" w:cs="Times New Roman"/>
          <w:sz w:val="20"/>
          <w:szCs w:val="20"/>
        </w:rPr>
        <w:t xml:space="preserve"> Comprometer-se a observar os princípios e as diretrizes estabelecidos no Estatuto da Criança e do Adolescente – ECA – Lei federal nº 8.069, de 13 de julho de 1990, bem como às disposições contidas na Lei nº 11.730, de 24 de julho de 2024.</w:t>
      </w:r>
      <w:bookmarkEnd w:id="6"/>
    </w:p>
    <w:p w14:paraId="7473287C" w14:textId="77777777" w:rsidR="001B767A" w:rsidRPr="00927DBF" w:rsidRDefault="001B767A">
      <w:pPr>
        <w:ind w:left="0" w:hanging="2"/>
        <w:jc w:val="both"/>
        <w:rPr>
          <w:rFonts w:ascii="Times New Roman" w:eastAsia="Times New Roman" w:hAnsi="Times New Roman" w:cs="Times New Roman"/>
          <w:sz w:val="20"/>
          <w:szCs w:val="20"/>
        </w:rPr>
      </w:pPr>
    </w:p>
    <w:p w14:paraId="00E51FF3" w14:textId="77777777" w:rsidR="001B767A" w:rsidRPr="00927DBF" w:rsidRDefault="001B767A">
      <w:pPr>
        <w:ind w:left="0" w:hanging="2"/>
        <w:jc w:val="both"/>
        <w:rPr>
          <w:rFonts w:ascii="Times New Roman" w:eastAsia="Times New Roman" w:hAnsi="Times New Roman" w:cs="Times New Roman"/>
          <w:sz w:val="20"/>
          <w:szCs w:val="20"/>
        </w:rPr>
      </w:pPr>
    </w:p>
    <w:p w14:paraId="71076D57" w14:textId="5B6E3A1A" w:rsidR="001B767A" w:rsidRPr="00927DBF" w:rsidRDefault="00EC4D80">
      <w:pPr>
        <w:ind w:left="0" w:hanging="2"/>
        <w:jc w:val="both"/>
        <w:rPr>
          <w:rFonts w:ascii="Times New Roman" w:eastAsia="Times New Roman" w:hAnsi="Times New Roman" w:cs="Times New Roman"/>
          <w:b/>
          <w:sz w:val="20"/>
          <w:szCs w:val="20"/>
        </w:rPr>
      </w:pPr>
      <w:proofErr w:type="spellStart"/>
      <w:r w:rsidRPr="00927DBF">
        <w:rPr>
          <w:rFonts w:ascii="Times New Roman" w:eastAsia="Times New Roman" w:hAnsi="Times New Roman" w:cs="Times New Roman"/>
          <w:b/>
          <w:sz w:val="20"/>
          <w:szCs w:val="20"/>
        </w:rPr>
        <w:t>x</w:t>
      </w:r>
      <w:r w:rsidR="00D47F1E">
        <w:rPr>
          <w:rFonts w:ascii="Times New Roman" w:eastAsia="Times New Roman" w:hAnsi="Times New Roman" w:cs="Times New Roman"/>
          <w:b/>
          <w:sz w:val="20"/>
          <w:szCs w:val="20"/>
        </w:rPr>
        <w:t>i</w:t>
      </w:r>
      <w:r w:rsidRPr="00927DBF">
        <w:rPr>
          <w:rFonts w:ascii="Times New Roman" w:eastAsia="Times New Roman" w:hAnsi="Times New Roman" w:cs="Times New Roman"/>
          <w:b/>
          <w:sz w:val="20"/>
          <w:szCs w:val="20"/>
        </w:rPr>
        <w:t>x</w:t>
      </w:r>
      <w:proofErr w:type="spellEnd"/>
      <w:r w:rsidRPr="00927DBF">
        <w:rPr>
          <w:rFonts w:ascii="Times New Roman" w:eastAsia="Times New Roman" w:hAnsi="Times New Roman" w:cs="Times New Roman"/>
          <w:b/>
          <w:sz w:val="20"/>
          <w:szCs w:val="20"/>
        </w:rPr>
        <w:t>. No Anexo IX do edital, TERMO DE COLABORAÇÃO, MINUTA DO PLANO DE TRABALHO, na CLÁUSULA TERCEIRA - DA MOVIMENTAÇÃO DOS RECURSOS FINANCEIROS</w:t>
      </w:r>
    </w:p>
    <w:p w14:paraId="44FA880F" w14:textId="77777777" w:rsidR="001B767A" w:rsidRPr="00927DBF" w:rsidRDefault="00EC4D80">
      <w:pPr>
        <w:ind w:left="0" w:hanging="2"/>
        <w:jc w:val="both"/>
        <w:rPr>
          <w:rFonts w:ascii="Times New Roman" w:eastAsia="Times New Roman" w:hAnsi="Times New Roman" w:cs="Times New Roman"/>
          <w:b/>
          <w:sz w:val="20"/>
          <w:szCs w:val="20"/>
        </w:rPr>
      </w:pPr>
      <w:r w:rsidRPr="00927DBF">
        <w:rPr>
          <w:rFonts w:ascii="Times New Roman" w:eastAsia="Times New Roman" w:hAnsi="Times New Roman" w:cs="Times New Roman"/>
          <w:b/>
          <w:sz w:val="20"/>
          <w:szCs w:val="20"/>
        </w:rPr>
        <w:t>Onde se lê:</w:t>
      </w:r>
    </w:p>
    <w:p w14:paraId="5A428A94" w14:textId="77777777" w:rsidR="001B767A" w:rsidRPr="00927DBF" w:rsidRDefault="00EC4D80">
      <w:pPr>
        <w:spacing w:before="60" w:after="60"/>
        <w:ind w:left="0" w:hanging="2"/>
        <w:jc w:val="both"/>
        <w:rPr>
          <w:rFonts w:ascii="Times New Roman" w:eastAsia="Times New Roman" w:hAnsi="Times New Roman" w:cs="Times New Roman"/>
          <w:sz w:val="20"/>
          <w:szCs w:val="20"/>
        </w:rPr>
      </w:pPr>
      <w:r w:rsidRPr="00927DBF">
        <w:rPr>
          <w:rFonts w:ascii="Times New Roman" w:eastAsia="Times New Roman" w:hAnsi="Times New Roman" w:cs="Times New Roman"/>
          <w:b/>
          <w:sz w:val="20"/>
          <w:szCs w:val="20"/>
        </w:rPr>
        <w:t>3.1.</w:t>
      </w:r>
      <w:r w:rsidRPr="00927DBF">
        <w:rPr>
          <w:rFonts w:ascii="Times New Roman" w:eastAsia="Times New Roman" w:hAnsi="Times New Roman" w:cs="Times New Roman"/>
          <w:sz w:val="20"/>
          <w:szCs w:val="20"/>
        </w:rPr>
        <w:t xml:space="preserve"> A FMC transferirá o valor de R$2.400.000,00 (dois milhões e quatrocentos mil reais) ou R$2.201.407,00 (dois milhões duzentos e um mil, quatrocentos e sete reais) - de acordo com o cronograma de desembolso e com o plano de aplicação previstos no Plano de Trabalho aprovado, anexo único deste Instrumento, respeitada a vigência da parceria e os pressupostos legais, além de estar condicionado à avaliação positiva pela Fundação Municipal de Cultura quanto à execução do projeto/atividade, à manutenção da habilitação jurídica e à regular prestação de contas.</w:t>
      </w:r>
    </w:p>
    <w:p w14:paraId="45CB3585" w14:textId="77777777" w:rsidR="001B767A" w:rsidRPr="00927DBF" w:rsidRDefault="00EC4D80">
      <w:pPr>
        <w:spacing w:before="60" w:after="60"/>
        <w:ind w:left="0" w:hanging="2"/>
        <w:jc w:val="both"/>
        <w:rPr>
          <w:rFonts w:ascii="Times New Roman" w:eastAsia="Times New Roman" w:hAnsi="Times New Roman" w:cs="Times New Roman"/>
          <w:b/>
          <w:sz w:val="20"/>
          <w:szCs w:val="20"/>
        </w:rPr>
      </w:pPr>
      <w:r w:rsidRPr="00927DBF">
        <w:rPr>
          <w:rFonts w:ascii="Times New Roman" w:eastAsia="Times New Roman" w:hAnsi="Times New Roman" w:cs="Times New Roman"/>
          <w:b/>
          <w:sz w:val="20"/>
          <w:szCs w:val="20"/>
        </w:rPr>
        <w:t>Leia-se:</w:t>
      </w:r>
    </w:p>
    <w:p w14:paraId="1FD0FC6B" w14:textId="77777777" w:rsidR="001B767A" w:rsidRDefault="00EC4D80">
      <w:pPr>
        <w:spacing w:before="60" w:after="60"/>
        <w:ind w:left="0" w:hanging="2"/>
        <w:jc w:val="both"/>
        <w:rPr>
          <w:rFonts w:ascii="Times New Roman" w:eastAsia="Times New Roman" w:hAnsi="Times New Roman" w:cs="Times New Roman"/>
          <w:sz w:val="20"/>
          <w:szCs w:val="20"/>
        </w:rPr>
      </w:pPr>
      <w:bookmarkStart w:id="7" w:name="_Hlk185340454"/>
      <w:r w:rsidRPr="00927DBF">
        <w:rPr>
          <w:rFonts w:ascii="Times New Roman" w:eastAsia="Times New Roman" w:hAnsi="Times New Roman" w:cs="Times New Roman"/>
          <w:b/>
          <w:sz w:val="20"/>
          <w:szCs w:val="20"/>
        </w:rPr>
        <w:t>3.1.</w:t>
      </w:r>
      <w:r w:rsidRPr="00927DBF">
        <w:rPr>
          <w:rFonts w:ascii="Times New Roman" w:eastAsia="Times New Roman" w:hAnsi="Times New Roman" w:cs="Times New Roman"/>
          <w:sz w:val="20"/>
          <w:szCs w:val="20"/>
        </w:rPr>
        <w:t xml:space="preserve"> A FMC transferirá o valor de R$2.400.000,00 (dois milhões e quatrocentos mil reais) ou </w:t>
      </w:r>
      <w:r w:rsidRPr="00927DBF">
        <w:rPr>
          <w:rFonts w:ascii="Times New Roman" w:eastAsia="Times New Roman" w:hAnsi="Times New Roman" w:cs="Times New Roman"/>
          <w:b/>
          <w:sz w:val="20"/>
          <w:szCs w:val="20"/>
        </w:rPr>
        <w:t>R$2.500.000,00 (dois milhões e quinhentos mil reais)</w:t>
      </w:r>
      <w:r w:rsidRPr="00927DBF">
        <w:rPr>
          <w:rFonts w:ascii="Times New Roman" w:eastAsia="Times New Roman" w:hAnsi="Times New Roman" w:cs="Times New Roman"/>
          <w:sz w:val="20"/>
          <w:szCs w:val="20"/>
        </w:rPr>
        <w:t xml:space="preserve"> -  de acordo com o cronograma de desembolso e com o plano de aplicação previstos no Plano de Trabalho aprovado, anexo único deste Instrumento, respeitada a vigência da parceria e os pressupostos legais, além de estar condicionado à avaliação positiva pela Fundação Municipal de Cultura quanto à execução do projeto/atividade, à manutenção da habilitação jurídica e à regular prestação de contas.</w:t>
      </w:r>
    </w:p>
    <w:bookmarkEnd w:id="7"/>
    <w:p w14:paraId="2F706B31" w14:textId="77777777" w:rsidR="001B767A" w:rsidRDefault="001B767A">
      <w:pPr>
        <w:ind w:left="0" w:hanging="2"/>
        <w:jc w:val="both"/>
        <w:rPr>
          <w:rFonts w:ascii="Times New Roman" w:eastAsia="Times New Roman" w:hAnsi="Times New Roman" w:cs="Times New Roman"/>
          <w:b/>
          <w:sz w:val="20"/>
          <w:szCs w:val="20"/>
        </w:rPr>
      </w:pPr>
    </w:p>
    <w:p w14:paraId="06CCF3DF" w14:textId="77777777" w:rsidR="001B767A" w:rsidRDefault="001B767A">
      <w:pPr>
        <w:ind w:left="0" w:hanging="2"/>
        <w:jc w:val="both"/>
        <w:rPr>
          <w:rFonts w:ascii="Times New Roman" w:eastAsia="Times New Roman" w:hAnsi="Times New Roman" w:cs="Times New Roman"/>
          <w:b/>
          <w:sz w:val="20"/>
          <w:szCs w:val="20"/>
        </w:rPr>
      </w:pPr>
    </w:p>
    <w:p w14:paraId="7FB466E8" w14:textId="2EB7D34F" w:rsidR="001B767A" w:rsidRDefault="00EC4D80">
      <w:pPr>
        <w:ind w:left="0" w:hanging="2"/>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xx</w:t>
      </w:r>
      <w:proofErr w:type="spellEnd"/>
      <w:r>
        <w:rPr>
          <w:rFonts w:ascii="Times New Roman" w:eastAsia="Times New Roman" w:hAnsi="Times New Roman" w:cs="Times New Roman"/>
          <w:b/>
          <w:sz w:val="20"/>
          <w:szCs w:val="20"/>
        </w:rPr>
        <w:t>. N</w:t>
      </w:r>
      <w:r>
        <w:rPr>
          <w:rFonts w:ascii="Times New Roman" w:eastAsia="Times New Roman" w:hAnsi="Times New Roman" w:cs="Times New Roman"/>
          <w:b/>
          <w:sz w:val="20"/>
          <w:szCs w:val="20"/>
          <w:highlight w:val="white"/>
        </w:rPr>
        <w:t xml:space="preserve">o Anexo IX do edital, TERMO DE COLABORAÇÃO, MINUTA DO </w:t>
      </w:r>
      <w:r>
        <w:rPr>
          <w:rFonts w:ascii="Times New Roman" w:eastAsia="Times New Roman" w:hAnsi="Times New Roman" w:cs="Times New Roman"/>
          <w:b/>
          <w:sz w:val="20"/>
          <w:szCs w:val="20"/>
        </w:rPr>
        <w:t>PLANO DE TRABALHO, na CLÁUSULA TERCEIRA – DA MOVIMENTAÇÃO DE RECURSOS FINANCEIROS</w:t>
      </w:r>
    </w:p>
    <w:p w14:paraId="46DCDBA0" w14:textId="77777777" w:rsidR="001B767A" w:rsidRDefault="00EC4D80">
      <w:pPr>
        <w:ind w:left="0" w:hanging="2"/>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No subitem 3.6, </w:t>
      </w:r>
      <w:r>
        <w:rPr>
          <w:rFonts w:ascii="Times New Roman" w:eastAsia="Times New Roman" w:hAnsi="Times New Roman" w:cs="Times New Roman"/>
          <w:b/>
          <w:sz w:val="20"/>
          <w:szCs w:val="20"/>
        </w:rPr>
        <w:t>onde se lê:</w:t>
      </w:r>
    </w:p>
    <w:p w14:paraId="21E26105" w14:textId="77777777" w:rsidR="001B767A" w:rsidRDefault="00EC4D80">
      <w:pPr>
        <w:ind w:left="0" w:hanging="2"/>
        <w:jc w:val="both"/>
        <w:rPr>
          <w:rFonts w:ascii="Times New Roman" w:eastAsia="Times New Roman" w:hAnsi="Times New Roman" w:cs="Times New Roman"/>
        </w:rPr>
      </w:pPr>
      <w:r>
        <w:rPr>
          <w:rFonts w:ascii="Times New Roman" w:eastAsia="Times New Roman" w:hAnsi="Times New Roman" w:cs="Times New Roman"/>
          <w:b/>
          <w:sz w:val="20"/>
          <w:szCs w:val="20"/>
        </w:rPr>
        <w:t xml:space="preserve">Ou </w:t>
      </w:r>
    </w:p>
    <w:p w14:paraId="04B0B2C5" w14:textId="77777777" w:rsidR="001B767A" w:rsidRDefault="00EC4D80">
      <w:pPr>
        <w:spacing w:before="60" w:after="60"/>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Ficha 3616 3103.1100.13.392.154.2.371.0008.339039-22 0000 100 CO 0000 R$2.201.407,00 10ª Virada Cultural de Belo Horizonte 2025</w:t>
      </w:r>
    </w:p>
    <w:p w14:paraId="09C6DAA7"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Leia-se:</w:t>
      </w:r>
    </w:p>
    <w:p w14:paraId="2CBEFD27" w14:textId="77777777" w:rsidR="001B767A" w:rsidRDefault="00EC4D80">
      <w:pPr>
        <w:spacing w:before="60" w:after="60"/>
        <w:ind w:left="0" w:hanging="2"/>
        <w:jc w:val="both"/>
        <w:rPr>
          <w:rFonts w:ascii="Times New Roman" w:eastAsia="Times New Roman" w:hAnsi="Times New Roman" w:cs="Times New Roman"/>
        </w:rPr>
      </w:pPr>
      <w:r>
        <w:rPr>
          <w:rFonts w:ascii="Times New Roman" w:eastAsia="Times New Roman" w:hAnsi="Times New Roman" w:cs="Times New Roman"/>
          <w:b/>
          <w:sz w:val="20"/>
          <w:szCs w:val="20"/>
        </w:rPr>
        <w:t xml:space="preserve">Ou </w:t>
      </w:r>
    </w:p>
    <w:p w14:paraId="36029BC2" w14:textId="77777777" w:rsidR="001B767A" w:rsidRDefault="00EC4D80">
      <w:pPr>
        <w:spacing w:before="60" w:after="60"/>
        <w:ind w:left="0" w:hanging="2"/>
        <w:jc w:val="both"/>
        <w:rPr>
          <w:rFonts w:ascii="Times New Roman" w:eastAsia="Times New Roman" w:hAnsi="Times New Roman" w:cs="Times New Roman"/>
          <w:sz w:val="20"/>
          <w:szCs w:val="20"/>
        </w:rPr>
      </w:pPr>
      <w:bookmarkStart w:id="8" w:name="_Hlk185340487"/>
      <w:r>
        <w:rPr>
          <w:rFonts w:ascii="Times New Roman" w:eastAsia="Times New Roman" w:hAnsi="Times New Roman" w:cs="Times New Roman"/>
          <w:sz w:val="20"/>
          <w:szCs w:val="20"/>
        </w:rPr>
        <w:t xml:space="preserve">Ficha 3616 3103.1100.13.392.154.2.371.0008.339039-22 0000 100 CO 0000 </w:t>
      </w:r>
      <w:r>
        <w:rPr>
          <w:rFonts w:ascii="Times New Roman" w:eastAsia="Times New Roman" w:hAnsi="Times New Roman" w:cs="Times New Roman"/>
          <w:b/>
          <w:sz w:val="20"/>
          <w:szCs w:val="20"/>
        </w:rPr>
        <w:t>R$2.500.000,00</w:t>
      </w:r>
      <w:r>
        <w:rPr>
          <w:rFonts w:ascii="Times New Roman" w:eastAsia="Times New Roman" w:hAnsi="Times New Roman" w:cs="Times New Roman"/>
          <w:sz w:val="20"/>
          <w:szCs w:val="20"/>
        </w:rPr>
        <w:t xml:space="preserve"> 10ª Virada Cultural de Belo Horizonte 2025</w:t>
      </w:r>
    </w:p>
    <w:bookmarkEnd w:id="8"/>
    <w:p w14:paraId="185B1306" w14:textId="77777777" w:rsidR="001B767A" w:rsidRDefault="001B767A" w:rsidP="00EC4D80">
      <w:pPr>
        <w:ind w:leftChars="0" w:left="0" w:firstLineChars="0" w:firstLine="0"/>
        <w:jc w:val="both"/>
        <w:rPr>
          <w:rFonts w:ascii="Times New Roman" w:eastAsia="Times New Roman" w:hAnsi="Times New Roman" w:cs="Times New Roman"/>
          <w:sz w:val="20"/>
          <w:szCs w:val="20"/>
        </w:rPr>
      </w:pPr>
    </w:p>
    <w:p w14:paraId="78F58AEB" w14:textId="6F9E4872" w:rsidR="001B767A" w:rsidRDefault="00EC4D80">
      <w:pPr>
        <w:ind w:left="0" w:hanging="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Belo Horizonte, </w:t>
      </w:r>
      <w:r w:rsidR="005C6F85">
        <w:rPr>
          <w:rFonts w:ascii="Times New Roman" w:eastAsia="Times New Roman" w:hAnsi="Times New Roman" w:cs="Times New Roman"/>
          <w:sz w:val="20"/>
          <w:szCs w:val="20"/>
        </w:rPr>
        <w:t xml:space="preserve">_____ de ______________ </w:t>
      </w:r>
      <w:proofErr w:type="spellStart"/>
      <w:r w:rsidR="005C6F85">
        <w:rPr>
          <w:rFonts w:ascii="Times New Roman" w:eastAsia="Times New Roman" w:hAnsi="Times New Roman" w:cs="Times New Roman"/>
          <w:sz w:val="20"/>
          <w:szCs w:val="20"/>
        </w:rPr>
        <w:t>de</w:t>
      </w:r>
      <w:proofErr w:type="spellEnd"/>
      <w:r w:rsidR="005C6F85">
        <w:rPr>
          <w:rFonts w:ascii="Times New Roman" w:eastAsia="Times New Roman" w:hAnsi="Times New Roman" w:cs="Times New Roman"/>
          <w:sz w:val="20"/>
          <w:szCs w:val="20"/>
        </w:rPr>
        <w:t xml:space="preserve"> 2025</w:t>
      </w:r>
      <w:r>
        <w:rPr>
          <w:rFonts w:ascii="Times New Roman" w:eastAsia="Times New Roman" w:hAnsi="Times New Roman" w:cs="Times New Roman"/>
          <w:sz w:val="20"/>
          <w:szCs w:val="20"/>
        </w:rPr>
        <w:t>.</w:t>
      </w:r>
    </w:p>
    <w:p w14:paraId="7EDF4CFB" w14:textId="77777777" w:rsidR="001B767A" w:rsidRDefault="001B767A">
      <w:pPr>
        <w:ind w:left="0" w:hanging="2"/>
        <w:jc w:val="both"/>
        <w:rPr>
          <w:rFonts w:ascii="Times New Roman" w:eastAsia="Times New Roman" w:hAnsi="Times New Roman" w:cs="Times New Roman"/>
          <w:sz w:val="20"/>
          <w:szCs w:val="20"/>
        </w:rPr>
      </w:pPr>
    </w:p>
    <w:p w14:paraId="579943E0" w14:textId="77777777" w:rsidR="001B767A" w:rsidRDefault="001B767A">
      <w:pPr>
        <w:ind w:left="0" w:hanging="2"/>
        <w:jc w:val="both"/>
        <w:rPr>
          <w:rFonts w:ascii="Times New Roman" w:eastAsia="Times New Roman" w:hAnsi="Times New Roman" w:cs="Times New Roman"/>
          <w:sz w:val="20"/>
          <w:szCs w:val="20"/>
        </w:rPr>
      </w:pPr>
    </w:p>
    <w:p w14:paraId="2DCDCA9C" w14:textId="77777777" w:rsidR="001B767A" w:rsidRDefault="001B767A">
      <w:pPr>
        <w:ind w:left="0" w:hanging="2"/>
        <w:jc w:val="both"/>
        <w:rPr>
          <w:rFonts w:ascii="Times New Roman" w:eastAsia="Times New Roman" w:hAnsi="Times New Roman" w:cs="Times New Roman"/>
          <w:sz w:val="20"/>
          <w:szCs w:val="20"/>
        </w:rPr>
      </w:pPr>
    </w:p>
    <w:tbl>
      <w:tblPr>
        <w:tblStyle w:val="aa"/>
        <w:tblW w:w="9889" w:type="dxa"/>
        <w:tblInd w:w="-108" w:type="dxa"/>
        <w:tblLayout w:type="fixed"/>
        <w:tblLook w:val="0000" w:firstRow="0" w:lastRow="0" w:firstColumn="0" w:lastColumn="0" w:noHBand="0" w:noVBand="0"/>
      </w:tblPr>
      <w:tblGrid>
        <w:gridCol w:w="4786"/>
        <w:gridCol w:w="5103"/>
      </w:tblGrid>
      <w:tr w:rsidR="001B767A" w14:paraId="5C1BBC4E" w14:textId="77777777">
        <w:tc>
          <w:tcPr>
            <w:tcW w:w="4786" w:type="dxa"/>
          </w:tcPr>
          <w:p w14:paraId="4AE27B2B" w14:textId="77777777" w:rsidR="001B767A" w:rsidRDefault="00EC4D80">
            <w:pPr>
              <w:ind w:left="0" w:hanging="2"/>
              <w:jc w:val="both"/>
              <w:rPr>
                <w:rFonts w:ascii="Times New Roman" w:eastAsia="Times New Roman" w:hAnsi="Times New Roman" w:cs="Times New Roman"/>
                <w:sz w:val="20"/>
                <w:szCs w:val="20"/>
              </w:rPr>
            </w:pPr>
            <w:bookmarkStart w:id="9" w:name="_heading=h.30j0zll" w:colFirst="0" w:colLast="0"/>
            <w:bookmarkEnd w:id="9"/>
            <w:r>
              <w:rPr>
                <w:rFonts w:ascii="Times New Roman" w:eastAsia="Times New Roman" w:hAnsi="Times New Roman" w:cs="Times New Roman"/>
                <w:i/>
                <w:sz w:val="20"/>
                <w:szCs w:val="20"/>
              </w:rPr>
              <w:t>Marta Guerra</w:t>
            </w:r>
          </w:p>
          <w:p w14:paraId="6D9BF8CF"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Diretoria da Política de Festivais – DPOF-FMC</w:t>
            </w:r>
            <w:r>
              <w:rPr>
                <w:rFonts w:ascii="Times New Roman" w:eastAsia="Times New Roman" w:hAnsi="Times New Roman" w:cs="Times New Roman"/>
                <w:b/>
                <w:sz w:val="20"/>
                <w:szCs w:val="20"/>
              </w:rPr>
              <w:br/>
              <w:t>Fundação Municipal de Cultura</w:t>
            </w:r>
          </w:p>
        </w:tc>
        <w:tc>
          <w:tcPr>
            <w:tcW w:w="5103" w:type="dxa"/>
          </w:tcPr>
          <w:p w14:paraId="13A51563"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 acordo</w:t>
            </w:r>
          </w:p>
          <w:p w14:paraId="3F3237EE" w14:textId="77777777" w:rsidR="001B767A" w:rsidRDefault="00EC4D80">
            <w:pPr>
              <w:widowControl/>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Bernardo Rocha Correia</w:t>
            </w:r>
          </w:p>
          <w:p w14:paraId="04986B73"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Presidente</w:t>
            </w:r>
          </w:p>
          <w:p w14:paraId="665EC0EA" w14:textId="77777777" w:rsidR="001B767A" w:rsidRDefault="00EC4D80">
            <w:pPr>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Fundação Municipal de Cultura</w:t>
            </w:r>
          </w:p>
        </w:tc>
      </w:tr>
    </w:tbl>
    <w:p w14:paraId="2F13DA5F" w14:textId="77777777" w:rsidR="001B767A" w:rsidRDefault="001B767A">
      <w:pPr>
        <w:ind w:left="0" w:hanging="2"/>
        <w:jc w:val="both"/>
        <w:rPr>
          <w:rFonts w:ascii="Times New Roman" w:eastAsia="Times New Roman" w:hAnsi="Times New Roman" w:cs="Times New Roman"/>
          <w:sz w:val="20"/>
          <w:szCs w:val="20"/>
        </w:rPr>
      </w:pPr>
    </w:p>
    <w:sectPr w:rsidR="001B767A">
      <w:type w:val="continuous"/>
      <w:pgSz w:w="11907" w:h="16840"/>
      <w:pgMar w:top="567" w:right="851" w:bottom="567" w:left="1417"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4B413" w14:textId="77777777" w:rsidR="00EC3AA8" w:rsidRDefault="00EC3AA8">
      <w:pPr>
        <w:spacing w:line="240" w:lineRule="auto"/>
        <w:ind w:left="0" w:hanging="2"/>
      </w:pPr>
      <w:r>
        <w:separator/>
      </w:r>
    </w:p>
  </w:endnote>
  <w:endnote w:type="continuationSeparator" w:id="0">
    <w:p w14:paraId="467F370D" w14:textId="77777777" w:rsidR="00EC3AA8" w:rsidRDefault="00EC3AA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5D21" w14:textId="77777777" w:rsidR="001B767A" w:rsidRDefault="001B767A">
    <w:pPr>
      <w:pBdr>
        <w:top w:val="nil"/>
        <w:left w:val="nil"/>
        <w:bottom w:val="nil"/>
        <w:right w:val="nil"/>
        <w:between w:val="nil"/>
      </w:pBdr>
      <w:tabs>
        <w:tab w:val="center" w:pos="4419"/>
        <w:tab w:val="right" w:pos="88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09EC" w14:textId="77777777" w:rsidR="001B767A" w:rsidRDefault="001B767A">
    <w:pPr>
      <w:pBdr>
        <w:top w:val="nil"/>
        <w:left w:val="nil"/>
        <w:bottom w:val="single" w:sz="6" w:space="1" w:color="000000"/>
        <w:right w:val="nil"/>
        <w:between w:val="nil"/>
      </w:pBdr>
      <w:tabs>
        <w:tab w:val="center" w:pos="4419"/>
        <w:tab w:val="right" w:pos="8838"/>
      </w:tabs>
      <w:spacing w:line="240" w:lineRule="auto"/>
      <w:jc w:val="center"/>
      <w:rPr>
        <w:rFonts w:ascii="Times New Roman" w:eastAsia="Times New Roman" w:hAnsi="Times New Roman" w:cs="Times New Roman"/>
        <w:color w:val="000000"/>
        <w:sz w:val="6"/>
        <w:szCs w:val="6"/>
      </w:rPr>
    </w:pPr>
  </w:p>
  <w:p w14:paraId="2B9881AC" w14:textId="77777777" w:rsidR="001B767A" w:rsidRDefault="00EC4D80">
    <w:pPr>
      <w:pBdr>
        <w:top w:val="nil"/>
        <w:left w:val="nil"/>
        <w:bottom w:val="nil"/>
        <w:right w:val="nil"/>
        <w:between w:val="nil"/>
      </w:pBdr>
      <w:tabs>
        <w:tab w:val="center" w:pos="4419"/>
        <w:tab w:val="right" w:pos="8838"/>
      </w:tabs>
      <w:spacing w:line="240" w:lineRule="auto"/>
      <w:ind w:left="0" w:hanging="2"/>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Fundação Municipal de Cultura – FMC – CNPJ: 07.252.975/0001-56</w:t>
    </w:r>
  </w:p>
  <w:p w14:paraId="14B35C48" w14:textId="77777777" w:rsidR="001B767A" w:rsidRDefault="00EC4D80">
    <w:pPr>
      <w:pBdr>
        <w:top w:val="nil"/>
        <w:left w:val="nil"/>
        <w:bottom w:val="nil"/>
        <w:right w:val="nil"/>
        <w:between w:val="nil"/>
      </w:pBdr>
      <w:tabs>
        <w:tab w:val="center" w:pos="4419"/>
        <w:tab w:val="right" w:pos="8838"/>
      </w:tabs>
      <w:spacing w:line="240" w:lineRule="auto"/>
      <w:ind w:left="0" w:hanging="2"/>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Avenida Augusto de Lima, 30, Centro, Belo Horizonte, MG, CEP 30190-001</w:t>
    </w:r>
  </w:p>
  <w:p w14:paraId="3FE803DB" w14:textId="77777777" w:rsidR="001B767A" w:rsidRDefault="00EC4D80">
    <w:pPr>
      <w:pBdr>
        <w:top w:val="nil"/>
        <w:left w:val="nil"/>
        <w:bottom w:val="nil"/>
        <w:right w:val="nil"/>
        <w:between w:val="nil"/>
      </w:pBdr>
      <w:tabs>
        <w:tab w:val="center" w:pos="4419"/>
        <w:tab w:val="right" w:pos="8838"/>
      </w:tabs>
      <w:spacing w:line="240" w:lineRule="auto"/>
      <w:jc w:val="right"/>
      <w:rPr>
        <w:color w:val="000000"/>
        <w:sz w:val="14"/>
        <w:szCs w:val="14"/>
      </w:rPr>
    </w:pPr>
    <w:r>
      <w:rPr>
        <w:rFonts w:ascii="Courier New" w:eastAsia="Courier New" w:hAnsi="Courier New" w:cs="Courier New"/>
        <w:b/>
        <w:color w:val="000000"/>
        <w:sz w:val="14"/>
        <w:szCs w:val="14"/>
      </w:rPr>
      <w:fldChar w:fldCharType="begin"/>
    </w:r>
    <w:r>
      <w:rPr>
        <w:rFonts w:ascii="Courier New" w:eastAsia="Courier New" w:hAnsi="Courier New" w:cs="Courier New"/>
        <w:b/>
        <w:color w:val="000000"/>
        <w:sz w:val="14"/>
        <w:szCs w:val="14"/>
      </w:rPr>
      <w:instrText>PAGE</w:instrText>
    </w:r>
    <w:r>
      <w:rPr>
        <w:rFonts w:ascii="Courier New" w:eastAsia="Courier New" w:hAnsi="Courier New" w:cs="Courier New"/>
        <w:b/>
        <w:color w:val="000000"/>
        <w:sz w:val="14"/>
        <w:szCs w:val="14"/>
      </w:rPr>
      <w:fldChar w:fldCharType="separate"/>
    </w:r>
    <w:r>
      <w:rPr>
        <w:rFonts w:ascii="Courier New" w:eastAsia="Courier New" w:hAnsi="Courier New" w:cs="Courier New"/>
        <w:b/>
        <w:noProof/>
        <w:color w:val="000000"/>
        <w:sz w:val="14"/>
        <w:szCs w:val="14"/>
      </w:rPr>
      <w:t>1</w:t>
    </w:r>
    <w:r>
      <w:rPr>
        <w:rFonts w:ascii="Courier New" w:eastAsia="Courier New" w:hAnsi="Courier New" w:cs="Courier New"/>
        <w:b/>
        <w:color w:val="000000"/>
        <w:sz w:val="14"/>
        <w:szCs w:val="14"/>
      </w:rPr>
      <w:fldChar w:fldCharType="end"/>
    </w:r>
    <w:r>
      <w:rPr>
        <w:rFonts w:ascii="Courier New" w:eastAsia="Courier New" w:hAnsi="Courier New" w:cs="Courier New"/>
        <w:color w:val="000000"/>
        <w:sz w:val="14"/>
        <w:szCs w:val="14"/>
      </w:rPr>
      <w:t xml:space="preserve"> / </w:t>
    </w:r>
    <w:r>
      <w:rPr>
        <w:rFonts w:ascii="Courier New" w:eastAsia="Courier New" w:hAnsi="Courier New" w:cs="Courier New"/>
        <w:b/>
        <w:color w:val="000000"/>
        <w:sz w:val="14"/>
        <w:szCs w:val="14"/>
      </w:rPr>
      <w:fldChar w:fldCharType="begin"/>
    </w:r>
    <w:r>
      <w:rPr>
        <w:rFonts w:ascii="Courier New" w:eastAsia="Courier New" w:hAnsi="Courier New" w:cs="Courier New"/>
        <w:b/>
        <w:color w:val="000000"/>
        <w:sz w:val="14"/>
        <w:szCs w:val="14"/>
      </w:rPr>
      <w:instrText>NUMPAGES</w:instrText>
    </w:r>
    <w:r>
      <w:rPr>
        <w:rFonts w:ascii="Courier New" w:eastAsia="Courier New" w:hAnsi="Courier New" w:cs="Courier New"/>
        <w:b/>
        <w:color w:val="000000"/>
        <w:sz w:val="14"/>
        <w:szCs w:val="14"/>
      </w:rPr>
      <w:fldChar w:fldCharType="separate"/>
    </w:r>
    <w:r>
      <w:rPr>
        <w:rFonts w:ascii="Courier New" w:eastAsia="Courier New" w:hAnsi="Courier New" w:cs="Courier New"/>
        <w:b/>
        <w:noProof/>
        <w:color w:val="000000"/>
        <w:sz w:val="14"/>
        <w:szCs w:val="14"/>
      </w:rPr>
      <w:t>2</w:t>
    </w:r>
    <w:r>
      <w:rPr>
        <w:rFonts w:ascii="Courier New" w:eastAsia="Courier New" w:hAnsi="Courier New" w:cs="Courier New"/>
        <w:b/>
        <w:color w:val="000000"/>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AD41" w14:textId="77777777" w:rsidR="001B767A" w:rsidRDefault="001B767A">
    <w:pPr>
      <w:pBdr>
        <w:top w:val="nil"/>
        <w:left w:val="nil"/>
        <w:bottom w:val="nil"/>
        <w:right w:val="nil"/>
        <w:between w:val="nil"/>
      </w:pBdr>
      <w:tabs>
        <w:tab w:val="center" w:pos="4419"/>
        <w:tab w:val="right" w:pos="88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C421B" w14:textId="77777777" w:rsidR="00EC3AA8" w:rsidRDefault="00EC3AA8">
      <w:pPr>
        <w:spacing w:line="240" w:lineRule="auto"/>
        <w:ind w:left="0" w:hanging="2"/>
      </w:pPr>
      <w:r>
        <w:separator/>
      </w:r>
    </w:p>
  </w:footnote>
  <w:footnote w:type="continuationSeparator" w:id="0">
    <w:p w14:paraId="4B0FDB6D" w14:textId="77777777" w:rsidR="00EC3AA8" w:rsidRDefault="00EC3AA8">
      <w:pPr>
        <w:spacing w:line="240" w:lineRule="auto"/>
        <w:ind w:left="0" w:hanging="2"/>
      </w:pPr>
      <w:r>
        <w:continuationSeparator/>
      </w:r>
    </w:p>
  </w:footnote>
  <w:footnote w:id="1">
    <w:p w14:paraId="7FF50933" w14:textId="77777777" w:rsidR="001B767A" w:rsidRDefault="00EC4D80">
      <w:pPr>
        <w:widowControl/>
        <w:ind w:left="0" w:hanging="2"/>
        <w:jc w:val="both"/>
        <w:rPr>
          <w:rFonts w:ascii="Calibri" w:eastAsia="Calibri" w:hAnsi="Calibri" w:cs="Calibri"/>
          <w:sz w:val="20"/>
          <w:szCs w:val="20"/>
        </w:rPr>
      </w:pPr>
      <w:r>
        <w:rPr>
          <w:vertAlign w:val="superscript"/>
        </w:rPr>
        <w:footnoteRef/>
      </w:r>
      <w:r>
        <w:rPr>
          <w:rFonts w:ascii="Times New Roman" w:eastAsia="Times New Roman" w:hAnsi="Times New Roman" w:cs="Times New Roman"/>
          <w:sz w:val="18"/>
          <w:szCs w:val="18"/>
        </w:rPr>
        <w:t xml:space="preserve"> Incluir apenas aquelas que serão efetivamente utilizadas na realização da parceria por guardar relação com o objeto.</w:t>
      </w:r>
    </w:p>
  </w:footnote>
  <w:footnote w:id="2">
    <w:p w14:paraId="766EF322" w14:textId="77777777" w:rsidR="001B767A" w:rsidRDefault="00EC4D80">
      <w:pPr>
        <w:widowControl/>
        <w:spacing w:before="60" w:after="60"/>
        <w:ind w:left="0" w:hanging="2"/>
        <w:jc w:val="both"/>
        <w:rPr>
          <w:rFonts w:ascii="Calibri" w:eastAsia="Calibri" w:hAnsi="Calibri" w:cs="Calibri"/>
          <w:sz w:val="20"/>
          <w:szCs w:val="20"/>
        </w:rPr>
      </w:pPr>
      <w:r>
        <w:rPr>
          <w:vertAlign w:val="superscript"/>
        </w:rPr>
        <w:footnoteRef/>
      </w:r>
      <w:r>
        <w:rPr>
          <w:rFonts w:ascii="Times New Roman" w:eastAsia="Times New Roman" w:hAnsi="Times New Roman" w:cs="Times New Roman"/>
          <w:sz w:val="18"/>
          <w:szCs w:val="18"/>
        </w:rPr>
        <w:t xml:space="preserve"> Juntamente ao Plano de Trabalho deverão ser apresentados documentos hábeis à comprovação da compatibilidade dos custos apresentados com os preços praticados no mercado, conforme §1º do Art. 26 do Decreto Municipal nº. 16.746/2017.</w:t>
      </w:r>
    </w:p>
  </w:footnote>
  <w:footnote w:id="3">
    <w:p w14:paraId="197247E1" w14:textId="77777777" w:rsidR="001B767A" w:rsidRDefault="00EC4D80">
      <w:pPr>
        <w:widowControl/>
        <w:spacing w:after="120"/>
        <w:ind w:left="0" w:hanging="2"/>
        <w:jc w:val="both"/>
        <w:rPr>
          <w:rFonts w:ascii="Calibri" w:eastAsia="Calibri" w:hAnsi="Calibri" w:cs="Calibri"/>
          <w:sz w:val="20"/>
          <w:szCs w:val="20"/>
        </w:rPr>
      </w:pPr>
      <w:r>
        <w:rPr>
          <w:vertAlign w:val="superscript"/>
        </w:rPr>
        <w:footnoteRef/>
      </w:r>
      <w:r>
        <w:rPr>
          <w:rFonts w:ascii="Times New Roman" w:eastAsia="Times New Roman" w:hAnsi="Times New Roman" w:cs="Times New Roman"/>
          <w:sz w:val="18"/>
          <w:szCs w:val="18"/>
        </w:rPr>
        <w:t xml:space="preserve"> Em caso de contrapartida, o recurso não será financeiro, mas auferido através de bens, serviços e despesas complementares, mensuráveis e deverão ser comprovados na prestação de contas.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5B46" w14:textId="77777777" w:rsidR="001B767A" w:rsidRDefault="001B767A">
    <w:pPr>
      <w:pBdr>
        <w:top w:val="nil"/>
        <w:left w:val="nil"/>
        <w:bottom w:val="nil"/>
        <w:right w:val="nil"/>
        <w:between w:val="nil"/>
      </w:pBdr>
      <w:tabs>
        <w:tab w:val="center" w:pos="4845"/>
        <w:tab w:val="right" w:pos="969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2FA0" w14:textId="77777777" w:rsidR="001B767A" w:rsidRDefault="001B767A">
    <w:pPr>
      <w:pBdr>
        <w:top w:val="nil"/>
        <w:left w:val="nil"/>
        <w:bottom w:val="nil"/>
        <w:right w:val="nil"/>
        <w:between w:val="nil"/>
      </w:pBdr>
      <w:spacing w:line="276" w:lineRule="auto"/>
      <w:ind w:left="0" w:hanging="2"/>
      <w:rPr>
        <w:color w:val="000000"/>
      </w:rPr>
    </w:pPr>
  </w:p>
  <w:tbl>
    <w:tblPr>
      <w:tblStyle w:val="ab"/>
      <w:tblW w:w="9709" w:type="dxa"/>
      <w:tblInd w:w="-70"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4181"/>
      <w:gridCol w:w="5528"/>
    </w:tblGrid>
    <w:tr w:rsidR="001B767A" w14:paraId="00BB539B" w14:textId="77777777">
      <w:trPr>
        <w:trHeight w:val="1175"/>
      </w:trPr>
      <w:tc>
        <w:tcPr>
          <w:tcW w:w="4181" w:type="dxa"/>
          <w:vAlign w:val="center"/>
        </w:tcPr>
        <w:p w14:paraId="5338E2FE" w14:textId="77777777" w:rsidR="001B767A" w:rsidRDefault="00EC4D80">
          <w:pPr>
            <w:ind w:left="0" w:hanging="2"/>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114300" distR="114300" wp14:anchorId="005CCB15" wp14:editId="02E78F91">
                <wp:extent cx="848995" cy="688975"/>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48995" cy="688975"/>
                        </a:xfrm>
                        <a:prstGeom prst="rect">
                          <a:avLst/>
                        </a:prstGeom>
                        <a:ln/>
                      </pic:spPr>
                    </pic:pic>
                  </a:graphicData>
                </a:graphic>
              </wp:inline>
            </w:drawing>
          </w:r>
          <w:r>
            <w:rPr>
              <w:rFonts w:ascii="Times New Roman" w:eastAsia="Times New Roman" w:hAnsi="Times New Roman" w:cs="Times New Roman"/>
              <w:noProof/>
              <w:sz w:val="20"/>
              <w:szCs w:val="20"/>
            </w:rPr>
            <w:drawing>
              <wp:inline distT="0" distB="0" distL="114300" distR="114300" wp14:anchorId="087B643B" wp14:editId="00C0CFEB">
                <wp:extent cx="1579880" cy="68326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579880" cy="683260"/>
                        </a:xfrm>
                        <a:prstGeom prst="rect">
                          <a:avLst/>
                        </a:prstGeom>
                        <a:ln/>
                      </pic:spPr>
                    </pic:pic>
                  </a:graphicData>
                </a:graphic>
              </wp:inline>
            </w:drawing>
          </w:r>
        </w:p>
      </w:tc>
      <w:tc>
        <w:tcPr>
          <w:tcW w:w="5528" w:type="dxa"/>
          <w:vAlign w:val="center"/>
        </w:tcPr>
        <w:p w14:paraId="2776B396" w14:textId="77777777" w:rsidR="001B767A" w:rsidRDefault="00EC4D80">
          <w:pPr>
            <w:pBdr>
              <w:top w:val="nil"/>
              <w:left w:val="nil"/>
              <w:bottom w:val="nil"/>
              <w:right w:val="nil"/>
              <w:between w:val="nil"/>
            </w:pBdr>
            <w:tabs>
              <w:tab w:val="center" w:pos="4845"/>
              <w:tab w:val="right" w:pos="9690"/>
            </w:tabs>
            <w:spacing w:line="240" w:lineRule="auto"/>
            <w:ind w:left="0" w:hanging="2"/>
            <w:jc w:val="center"/>
            <w:rPr>
              <w:rFonts w:ascii="Times" w:eastAsia="Times" w:hAnsi="Times" w:cs="Times"/>
              <w:b/>
              <w:smallCaps/>
              <w:color w:val="000000"/>
              <w:sz w:val="18"/>
              <w:szCs w:val="18"/>
            </w:rPr>
          </w:pPr>
          <w:r>
            <w:rPr>
              <w:rFonts w:ascii="Times" w:eastAsia="Times" w:hAnsi="Times" w:cs="Times"/>
              <w:b/>
              <w:smallCaps/>
              <w:color w:val="000000"/>
              <w:sz w:val="18"/>
              <w:szCs w:val="18"/>
            </w:rPr>
            <w:t>Fundação Municipal de Cultura-FMC</w:t>
          </w:r>
        </w:p>
        <w:p w14:paraId="0FD4393E" w14:textId="1540D106" w:rsidR="00EC4D80" w:rsidRPr="00D867A5" w:rsidRDefault="00EC4D80" w:rsidP="00EC4D80">
          <w:pPr>
            <w:pStyle w:val="Cabealho"/>
            <w:spacing w:before="60" w:after="60"/>
            <w:ind w:left="2" w:hanging="4"/>
            <w:rPr>
              <w:lang w:val="pt-BR"/>
            </w:rPr>
          </w:pPr>
          <w:r w:rsidRPr="00D867A5">
            <w:rPr>
              <w:rFonts w:ascii="Times New Roman" w:hAnsi="Times New Roman" w:cs="Times New Roman"/>
              <w:sz w:val="36"/>
              <w:szCs w:val="36"/>
              <w:lang w:val="pt-BR"/>
            </w:rPr>
            <w:t xml:space="preserve">                       </w:t>
          </w:r>
        </w:p>
        <w:p w14:paraId="48690A42" w14:textId="0976A3CD" w:rsidR="00EC4D80" w:rsidRDefault="00EC4D80">
          <w:pPr>
            <w:pBdr>
              <w:top w:val="nil"/>
              <w:left w:val="nil"/>
              <w:bottom w:val="nil"/>
              <w:right w:val="nil"/>
              <w:between w:val="nil"/>
            </w:pBdr>
            <w:tabs>
              <w:tab w:val="center" w:pos="4845"/>
              <w:tab w:val="right" w:pos="9690"/>
            </w:tabs>
            <w:spacing w:line="240" w:lineRule="auto"/>
            <w:ind w:left="0" w:hanging="2"/>
            <w:jc w:val="center"/>
            <w:rPr>
              <w:color w:val="000000"/>
              <w:sz w:val="18"/>
              <w:szCs w:val="18"/>
            </w:rPr>
          </w:pPr>
        </w:p>
      </w:tc>
    </w:tr>
  </w:tbl>
  <w:p w14:paraId="2D831BAE" w14:textId="77777777" w:rsidR="001B767A" w:rsidRDefault="001B767A">
    <w:pPr>
      <w:pBdr>
        <w:top w:val="nil"/>
        <w:left w:val="nil"/>
        <w:bottom w:val="nil"/>
        <w:right w:val="nil"/>
        <w:between w:val="nil"/>
      </w:pBdr>
      <w:tabs>
        <w:tab w:val="center" w:pos="4845"/>
        <w:tab w:val="right" w:pos="9690"/>
      </w:tabs>
      <w:spacing w:after="20" w:line="240" w:lineRule="auto"/>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A5CCC" w14:textId="77777777" w:rsidR="001B767A" w:rsidRDefault="001B767A">
    <w:pPr>
      <w:pBdr>
        <w:top w:val="nil"/>
        <w:left w:val="nil"/>
        <w:bottom w:val="nil"/>
        <w:right w:val="nil"/>
        <w:between w:val="nil"/>
      </w:pBdr>
      <w:tabs>
        <w:tab w:val="center" w:pos="4845"/>
        <w:tab w:val="right" w:pos="9690"/>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67A"/>
    <w:rsid w:val="00057182"/>
    <w:rsid w:val="000E0355"/>
    <w:rsid w:val="001B767A"/>
    <w:rsid w:val="002075AF"/>
    <w:rsid w:val="0024374D"/>
    <w:rsid w:val="00331608"/>
    <w:rsid w:val="003353B0"/>
    <w:rsid w:val="003E07C0"/>
    <w:rsid w:val="004F5F75"/>
    <w:rsid w:val="00510032"/>
    <w:rsid w:val="00575BA0"/>
    <w:rsid w:val="005B49CB"/>
    <w:rsid w:val="005C6F85"/>
    <w:rsid w:val="005F14AF"/>
    <w:rsid w:val="00716812"/>
    <w:rsid w:val="00763D95"/>
    <w:rsid w:val="009242EA"/>
    <w:rsid w:val="00927DBF"/>
    <w:rsid w:val="00A40872"/>
    <w:rsid w:val="00AE7043"/>
    <w:rsid w:val="00B46F68"/>
    <w:rsid w:val="00B75D2B"/>
    <w:rsid w:val="00D47F1E"/>
    <w:rsid w:val="00D867A5"/>
    <w:rsid w:val="00DF36EF"/>
    <w:rsid w:val="00EC3AA8"/>
    <w:rsid w:val="00EC4D80"/>
    <w:rsid w:val="00F030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7330"/>
  <w15:docId w15:val="{190FB2CD-7712-4684-8013-130CB830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spacing w:before="240" w:after="240"/>
      <w:jc w:val="both"/>
    </w:pPr>
    <w:rPr>
      <w:b/>
      <w:sz w:val="20"/>
      <w:lang w:val="en-US"/>
    </w:rPr>
  </w:style>
  <w:style w:type="paragraph" w:styleId="Ttulo2">
    <w:name w:val="heading 2"/>
    <w:basedOn w:val="Normal"/>
    <w:next w:val="Normal"/>
    <w:uiPriority w:val="9"/>
    <w:semiHidden/>
    <w:unhideWhenUsed/>
    <w:qFormat/>
    <w:pPr>
      <w:keepNext/>
      <w:spacing w:after="120"/>
      <w:jc w:val="both"/>
      <w:outlineLvl w:val="1"/>
    </w:pPr>
    <w:rPr>
      <w:b/>
      <w:lang w:val="en-US"/>
    </w:rPr>
  </w:style>
  <w:style w:type="paragraph" w:styleId="Ttulo3">
    <w:name w:val="heading 3"/>
    <w:basedOn w:val="Normal"/>
    <w:next w:val="Normal"/>
    <w:uiPriority w:val="9"/>
    <w:semiHidden/>
    <w:unhideWhenUsed/>
    <w:qFormat/>
    <w:pPr>
      <w:keepNext/>
      <w:jc w:val="center"/>
      <w:outlineLvl w:val="2"/>
    </w:pPr>
    <w:rPr>
      <w:b/>
      <w:sz w:val="16"/>
      <w:lang w:val="en-US"/>
    </w:rPr>
  </w:style>
  <w:style w:type="paragraph" w:styleId="Ttulo4">
    <w:name w:val="heading 4"/>
    <w:basedOn w:val="Normal"/>
    <w:next w:val="Normal"/>
    <w:uiPriority w:val="9"/>
    <w:semiHidden/>
    <w:unhideWhenUsed/>
    <w:qFormat/>
    <w:pPr>
      <w:keepNext/>
      <w:spacing w:before="40" w:after="40"/>
      <w:jc w:val="center"/>
      <w:outlineLvl w:val="3"/>
    </w:pPr>
    <w:rPr>
      <w:b/>
      <w:sz w:val="14"/>
      <w:lang w:val="en-US"/>
    </w:rPr>
  </w:style>
  <w:style w:type="paragraph" w:styleId="Ttulo5">
    <w:name w:val="heading 5"/>
    <w:basedOn w:val="Normal"/>
    <w:next w:val="Normal"/>
    <w:uiPriority w:val="9"/>
    <w:semiHidden/>
    <w:unhideWhenUsed/>
    <w:qFormat/>
    <w:pPr>
      <w:keepNext/>
      <w:ind w:firstLine="1418"/>
      <w:jc w:val="both"/>
      <w:outlineLvl w:val="4"/>
    </w:pPr>
    <w:rPr>
      <w:sz w:val="20"/>
      <w:lang w:val="en-US"/>
    </w:rPr>
  </w:style>
  <w:style w:type="paragraph" w:styleId="Ttulo6">
    <w:name w:val="heading 6"/>
    <w:basedOn w:val="Normal"/>
    <w:next w:val="Normal"/>
    <w:uiPriority w:val="9"/>
    <w:semiHidden/>
    <w:unhideWhenUsed/>
    <w:qFormat/>
    <w:pPr>
      <w:keepNext/>
      <w:jc w:val="center"/>
      <w:outlineLvl w:val="5"/>
    </w:pPr>
    <w:rPr>
      <w:b/>
      <w:smallCaps/>
      <w:sz w:val="20"/>
      <w:lang w:val="en-US"/>
    </w:rPr>
  </w:style>
  <w:style w:type="paragraph" w:styleId="Ttulo7">
    <w:name w:val="heading 7"/>
    <w:basedOn w:val="Normal"/>
    <w:next w:val="Normal"/>
    <w:pPr>
      <w:keepNext/>
      <w:outlineLvl w:val="6"/>
    </w:pPr>
    <w:rPr>
      <w:b/>
      <w:color w:val="000000"/>
      <w:sz w:val="18"/>
    </w:rPr>
  </w:style>
  <w:style w:type="paragraph" w:styleId="Ttulo8">
    <w:name w:val="heading 8"/>
    <w:basedOn w:val="Normal"/>
    <w:next w:val="Normal"/>
    <w:pPr>
      <w:keepNext/>
      <w:spacing w:before="40" w:after="40"/>
      <w:jc w:val="center"/>
      <w:outlineLvl w:val="7"/>
    </w:pPr>
    <w:rPr>
      <w:b/>
      <w:color w:val="000000"/>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Padro"/>
    <w:next w:val="Corpodotexto"/>
    <w:uiPriority w:val="10"/>
    <w:qFormat/>
    <w:pPr>
      <w:keepNext/>
      <w:spacing w:before="240" w:after="120"/>
    </w:pPr>
    <w:rPr>
      <w:sz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Padro">
    <w:name w:val="Padrão"/>
    <w:pPr>
      <w:suppressAutoHyphens/>
      <w:spacing w:line="1" w:lineRule="atLeast"/>
      <w:ind w:leftChars="-1" w:left="-1" w:hangingChars="1" w:hanging="1"/>
      <w:textDirection w:val="btLr"/>
      <w:textAlignment w:val="top"/>
      <w:outlineLvl w:val="0"/>
    </w:pPr>
    <w:rPr>
      <w:position w:val="-1"/>
      <w:lang w:val="en-US"/>
    </w:rPr>
  </w:style>
  <w:style w:type="paragraph" w:customStyle="1" w:styleId="Corpodotexto">
    <w:name w:val="Corpo do texto"/>
    <w:basedOn w:val="Padro"/>
    <w:pPr>
      <w:spacing w:after="120"/>
    </w:pPr>
  </w:style>
  <w:style w:type="paragraph" w:styleId="Lista">
    <w:name w:val="List"/>
    <w:basedOn w:val="Corpodotexto"/>
    <w:pPr>
      <w:spacing w:after="0"/>
    </w:pPr>
  </w:style>
  <w:style w:type="paragraph" w:styleId="Legenda">
    <w:name w:val="caption"/>
    <w:basedOn w:val="Padro"/>
    <w:pPr>
      <w:spacing w:before="120" w:after="120"/>
    </w:pPr>
    <w:rPr>
      <w:i/>
      <w:sz w:val="20"/>
    </w:rPr>
  </w:style>
  <w:style w:type="paragraph" w:customStyle="1" w:styleId="ndice">
    <w:name w:val="Índice"/>
    <w:basedOn w:val="Padro"/>
  </w:style>
  <w:style w:type="paragraph" w:styleId="Corpodetexto2">
    <w:name w:val="Body Text 2"/>
    <w:basedOn w:val="Normal"/>
    <w:pPr>
      <w:tabs>
        <w:tab w:val="left" w:pos="851"/>
      </w:tabs>
      <w:ind w:left="851" w:hanging="851"/>
      <w:jc w:val="both"/>
    </w:pPr>
    <w:rPr>
      <w:lang w:val="en-US"/>
    </w:rPr>
  </w:style>
  <w:style w:type="paragraph" w:styleId="Recuodecorpodetexto2">
    <w:name w:val="Body Text Indent 2"/>
    <w:basedOn w:val="Normal"/>
    <w:pPr>
      <w:ind w:firstLine="1134"/>
      <w:jc w:val="both"/>
    </w:pPr>
    <w:rPr>
      <w:rFonts w:ascii="Times New Roman" w:hAnsi="Times New Roman"/>
    </w:rPr>
  </w:style>
  <w:style w:type="paragraph" w:styleId="Recuodecorpodetexto3">
    <w:name w:val="Body Text Indent 3"/>
    <w:basedOn w:val="Normal"/>
    <w:pPr>
      <w:tabs>
        <w:tab w:val="left" w:pos="2268"/>
      </w:tabs>
      <w:ind w:left="2268" w:hanging="1134"/>
      <w:jc w:val="both"/>
    </w:pPr>
    <w:rPr>
      <w:rFonts w:ascii="Times New Roman" w:hAnsi="Times New Roman"/>
      <w:sz w:val="23"/>
    </w:rPr>
  </w:style>
  <w:style w:type="paragraph" w:styleId="Cabealho">
    <w:name w:val="header"/>
    <w:basedOn w:val="Padro"/>
    <w:pPr>
      <w:tabs>
        <w:tab w:val="center" w:pos="4845"/>
        <w:tab w:val="right" w:pos="9690"/>
      </w:tabs>
    </w:pPr>
  </w:style>
  <w:style w:type="character" w:customStyle="1" w:styleId="RTFNum31">
    <w:name w:val="RTF_Num 3 1"/>
    <w:rPr>
      <w:noProof w:val="0"/>
      <w:w w:val="100"/>
      <w:position w:val="-1"/>
      <w:effect w:val="none"/>
      <w:vertAlign w:val="baseline"/>
      <w:cs w:val="0"/>
      <w:em w:val="none"/>
      <w:lang w:val="en-US"/>
    </w:rPr>
  </w:style>
  <w:style w:type="character" w:customStyle="1" w:styleId="Hiperlink">
    <w:name w:val="Hiperlink"/>
    <w:rPr>
      <w:noProof w:val="0"/>
      <w:color w:val="0000FF"/>
      <w:w w:val="100"/>
      <w:position w:val="-1"/>
      <w:u w:val="single"/>
      <w:effect w:val="none"/>
      <w:vertAlign w:val="baseline"/>
      <w:cs w:val="0"/>
      <w:em w:val="none"/>
      <w:lang w:val="en-US"/>
    </w:rPr>
  </w:style>
  <w:style w:type="character" w:customStyle="1" w:styleId="Numeraodelinhas">
    <w:name w:val="Numeração de linhas"/>
    <w:rPr>
      <w:noProof w:val="0"/>
      <w:w w:val="100"/>
      <w:position w:val="-1"/>
      <w:effect w:val="none"/>
      <w:vertAlign w:val="baseline"/>
      <w:cs w:val="0"/>
      <w:em w:val="none"/>
      <w:lang w:val="en-US"/>
    </w:rPr>
  </w:style>
  <w:style w:type="paragraph" w:styleId="Rodap">
    <w:name w:val="footer"/>
    <w:basedOn w:val="Normal"/>
    <w:pPr>
      <w:tabs>
        <w:tab w:val="center" w:pos="4419"/>
        <w:tab w:val="right" w:pos="8838"/>
      </w:tabs>
    </w:pPr>
  </w:style>
  <w:style w:type="paragraph" w:customStyle="1" w:styleId="Textopr-formatado">
    <w:name w:val="Texto pré-formatado"/>
    <w:basedOn w:val="Normal"/>
    <w:rPr>
      <w:sz w:val="20"/>
    </w:rPr>
  </w:style>
  <w:style w:type="paragraph" w:styleId="Recuodecorpodetexto">
    <w:name w:val="Body Text Indent"/>
    <w:basedOn w:val="Normal"/>
    <w:pPr>
      <w:jc w:val="both"/>
    </w:pPr>
    <w:rPr>
      <w:rFonts w:ascii="Times New Roman" w:hAnsi="Times New Roman"/>
      <w:b/>
    </w:rPr>
  </w:style>
  <w:style w:type="character" w:customStyle="1" w:styleId="CabealhoChar">
    <w:name w:val="Cabeçalho Char"/>
    <w:rPr>
      <w:rFonts w:ascii="Arial" w:hAnsi="Arial"/>
      <w:noProof w:val="0"/>
      <w:w w:val="100"/>
      <w:position w:val="-1"/>
      <w:sz w:val="24"/>
      <w:effect w:val="none"/>
      <w:vertAlign w:val="baseline"/>
      <w:cs w:val="0"/>
      <w:em w:val="none"/>
      <w:lang w:val="en-US"/>
    </w:rPr>
  </w:style>
  <w:style w:type="character" w:customStyle="1" w:styleId="RodapChar">
    <w:name w:val="Rodapé Char"/>
    <w:rPr>
      <w:rFonts w:ascii="Arial" w:hAnsi="Arial"/>
      <w:w w:val="100"/>
      <w:position w:val="-1"/>
      <w:sz w:val="24"/>
      <w:effect w:val="none"/>
      <w:vertAlign w:val="baseline"/>
      <w:cs w:val="0"/>
      <w:em w:val="none"/>
    </w:rPr>
  </w:style>
  <w:style w:type="paragraph" w:styleId="TextosemFormatao">
    <w:name w:val="Plain Text"/>
    <w:basedOn w:val="Normal"/>
    <w:pPr>
      <w:widowControl/>
    </w:pPr>
    <w:rPr>
      <w:rFonts w:ascii="Courier New" w:hAnsi="Courier New"/>
      <w:sz w:val="20"/>
    </w:rPr>
  </w:style>
  <w:style w:type="character" w:customStyle="1" w:styleId="TextosemFormataoChar">
    <w:name w:val="Texto sem Formatação Char"/>
    <w:rPr>
      <w:rFonts w:ascii="Courier New" w:hAnsi="Courier New"/>
      <w:w w:val="100"/>
      <w:position w:val="-1"/>
      <w:effect w:val="none"/>
      <w:vertAlign w:val="baseline"/>
      <w:cs w:val="0"/>
      <w:em w:val="none"/>
    </w:rPr>
  </w:style>
  <w:style w:type="character" w:customStyle="1" w:styleId="TtuloChar">
    <w:name w:val="Título Char"/>
    <w:rPr>
      <w:rFonts w:ascii="Arial" w:hAnsi="Arial"/>
      <w:w w:val="100"/>
      <w:position w:val="-1"/>
      <w:sz w:val="28"/>
      <w:effect w:val="none"/>
      <w:vertAlign w:val="baseline"/>
      <w:cs w:val="0"/>
      <w:em w:val="none"/>
      <w:lang w:val="en-US"/>
    </w:rPr>
  </w:style>
  <w:style w:type="paragraph" w:styleId="Corpodetexto">
    <w:name w:val="Body Text"/>
    <w:basedOn w:val="Normal"/>
    <w:qFormat/>
    <w:pPr>
      <w:spacing w:after="120"/>
    </w:pPr>
  </w:style>
  <w:style w:type="character" w:customStyle="1" w:styleId="CorpodetextoChar">
    <w:name w:val="Corpo de texto Char"/>
    <w:rPr>
      <w:rFonts w:ascii="Arial" w:hAnsi="Arial"/>
      <w:w w:val="100"/>
      <w:position w:val="-1"/>
      <w:sz w:val="24"/>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PargrafodaLista">
    <w:name w:val="List Paragraph"/>
    <w:basedOn w:val="Normal"/>
    <w:pPr>
      <w:widowControl/>
      <w:suppressAutoHyphens w:val="0"/>
      <w:ind w:left="720"/>
      <w:contextualSpacing/>
    </w:pPr>
    <w:rPr>
      <w:rFonts w:ascii="Times New Roman" w:hAnsi="Times New Roman"/>
      <w:sz w:val="20"/>
      <w:lang w:eastAsia="zh-CN"/>
    </w:rPr>
  </w:style>
  <w:style w:type="paragraph" w:customStyle="1" w:styleId="Normal1">
    <w:name w:val="Normal1"/>
    <w:pPr>
      <w:spacing w:line="276" w:lineRule="auto"/>
      <w:ind w:leftChars="-1" w:left="-1" w:hangingChars="1" w:hanging="1"/>
      <w:contextualSpacing/>
      <w:textDirection w:val="btLr"/>
      <w:textAlignment w:val="top"/>
      <w:outlineLvl w:val="0"/>
    </w:pPr>
    <w:rPr>
      <w:color w:val="000000"/>
      <w:position w:val="-1"/>
      <w:sz w:val="22"/>
      <w:lang w:eastAsia="zh-CN"/>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pPr>
      <w:widowControl/>
      <w:spacing w:before="100" w:beforeAutospacing="1" w:after="100" w:afterAutospacing="1"/>
    </w:pPr>
    <w:rPr>
      <w:rFonts w:ascii="Times New Roman" w:hAnsi="Times New Roma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top w:w="28" w:type="dxa"/>
        <w:left w:w="23" w:type="dxa"/>
        <w:bottom w:w="28" w:type="dxa"/>
        <w:right w:w="28"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790012">
      <w:bodyDiv w:val="1"/>
      <w:marLeft w:val="0"/>
      <w:marRight w:val="0"/>
      <w:marTop w:val="0"/>
      <w:marBottom w:val="0"/>
      <w:divBdr>
        <w:top w:val="none" w:sz="0" w:space="0" w:color="auto"/>
        <w:left w:val="none" w:sz="0" w:space="0" w:color="auto"/>
        <w:bottom w:val="none" w:sz="0" w:space="0" w:color="auto"/>
        <w:right w:val="none" w:sz="0" w:space="0" w:color="auto"/>
      </w:divBdr>
      <w:divsChild>
        <w:div w:id="1544757088">
          <w:marLeft w:val="0"/>
          <w:marRight w:val="0"/>
          <w:marTop w:val="0"/>
          <w:marBottom w:val="0"/>
          <w:divBdr>
            <w:top w:val="none" w:sz="0" w:space="0" w:color="auto"/>
            <w:left w:val="none" w:sz="0" w:space="0" w:color="auto"/>
            <w:bottom w:val="none" w:sz="0" w:space="0" w:color="auto"/>
            <w:right w:val="none" w:sz="0" w:space="0" w:color="auto"/>
          </w:divBdr>
        </w:div>
        <w:div w:id="2109504278">
          <w:marLeft w:val="0"/>
          <w:marRight w:val="0"/>
          <w:marTop w:val="0"/>
          <w:marBottom w:val="0"/>
          <w:divBdr>
            <w:top w:val="none" w:sz="0" w:space="0" w:color="auto"/>
            <w:left w:val="none" w:sz="0" w:space="0" w:color="auto"/>
            <w:bottom w:val="none" w:sz="0" w:space="0" w:color="auto"/>
            <w:right w:val="none" w:sz="0" w:space="0" w:color="auto"/>
          </w:divBdr>
          <w:divsChild>
            <w:div w:id="1046368485">
              <w:marLeft w:val="0"/>
              <w:marRight w:val="0"/>
              <w:marTop w:val="0"/>
              <w:marBottom w:val="0"/>
              <w:divBdr>
                <w:top w:val="none" w:sz="0" w:space="0" w:color="auto"/>
                <w:left w:val="none" w:sz="0" w:space="0" w:color="auto"/>
                <w:bottom w:val="none" w:sz="0" w:space="0" w:color="auto"/>
                <w:right w:val="none" w:sz="0" w:space="0" w:color="auto"/>
              </w:divBdr>
              <w:divsChild>
                <w:div w:id="89243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7927">
          <w:marLeft w:val="0"/>
          <w:marRight w:val="0"/>
          <w:marTop w:val="0"/>
          <w:marBottom w:val="0"/>
          <w:divBdr>
            <w:top w:val="none" w:sz="0" w:space="0" w:color="auto"/>
            <w:left w:val="none" w:sz="0" w:space="0" w:color="auto"/>
            <w:bottom w:val="none" w:sz="0" w:space="0" w:color="auto"/>
            <w:right w:val="none" w:sz="0" w:space="0" w:color="auto"/>
          </w:divBdr>
          <w:divsChild>
            <w:div w:id="412775263">
              <w:marLeft w:val="0"/>
              <w:marRight w:val="0"/>
              <w:marTop w:val="0"/>
              <w:marBottom w:val="0"/>
              <w:divBdr>
                <w:top w:val="none" w:sz="0" w:space="0" w:color="auto"/>
                <w:left w:val="none" w:sz="0" w:space="0" w:color="auto"/>
                <w:bottom w:val="none" w:sz="0" w:space="0" w:color="auto"/>
                <w:right w:val="none" w:sz="0" w:space="0" w:color="auto"/>
              </w:divBdr>
              <w:divsChild>
                <w:div w:id="72059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81007">
          <w:marLeft w:val="0"/>
          <w:marRight w:val="0"/>
          <w:marTop w:val="0"/>
          <w:marBottom w:val="0"/>
          <w:divBdr>
            <w:top w:val="none" w:sz="0" w:space="0" w:color="auto"/>
            <w:left w:val="none" w:sz="0" w:space="0" w:color="auto"/>
            <w:bottom w:val="none" w:sz="0" w:space="0" w:color="auto"/>
            <w:right w:val="none" w:sz="0" w:space="0" w:color="auto"/>
          </w:divBdr>
        </w:div>
        <w:div w:id="19108425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g/qWbPRYErS4FquLR0ScFw7z4Q==">CgMxLjAyCGguZ2pkZ3hzMghoLnR5amN3dDIJaC4yYm42d3N4MgloLjMwajB6bGw4AGokChRzdWdnZXN0Lm52a3ZxYWEzajhzcRIMTWFydGEgR3VlcnJhaiUKFHN1Z2dlc3QuM3NvZWticzFvdW11Eg1EZW5pcyBDYXJkb3NvaiQKFHN1Z2dlc3QueW5hdnlxbW0yazl0EgxNYXJ0YSBHdWVycmFqJAoUc3VnZ2VzdC5mMzZ0NmF2NGQ4bm8SDE1hcnRhIEd1ZXJyYWokChNzdWdnZXN0LmFyanhrYmJtMnR6Eg1EZW5pcyBDYXJkb3NvciExVmI4MGd1UFgzYlF1bkpwaXNpUl93cWVCUTVtRU01a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3707</Words>
  <Characters>20021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pbh</dc:creator>
  <cp:lastModifiedBy>HARLEY BARCALA REIS FC000192</cp:lastModifiedBy>
  <cp:revision>10</cp:revision>
  <dcterms:created xsi:type="dcterms:W3CDTF">2025-01-15T14:51:00Z</dcterms:created>
  <dcterms:modified xsi:type="dcterms:W3CDTF">2025-01-17T15:52:00Z</dcterms:modified>
</cp:coreProperties>
</file>