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ind w:right="-421.062992125984"/>
        <w:jc w:val="center"/>
        <w:rPr>
          <w:b w:val="1"/>
          <w:color w:val="0f1115"/>
        </w:rPr>
      </w:pPr>
      <w:r w:rsidDel="00000000" w:rsidR="00000000" w:rsidRPr="00000000">
        <w:rPr>
          <w:b w:val="1"/>
          <w:color w:val="0f1115"/>
          <w:rtl w:val="0"/>
        </w:rPr>
        <w:t xml:space="preserve">INFORMATIVO ELEITORAL 03 - Artigo 5º da Resolução CMAS/BH nº 022/2025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O artigo 5º da Resolução CMAS/BH nº 022/2025, que aprova o Regimento Eleitoral para escolha da representação da sociedade civil nos Conselhos Regionais de Assistência Social – CORAS e no Conselho Municipal de Assistência Social de Belo Horizonte – CMAS/BH, para a gestão 2025/2027 e dá outras providências, estabelece que:</w:t>
      </w:r>
    </w:p>
    <w:p w:rsidR="00000000" w:rsidDel="00000000" w:rsidP="00000000" w:rsidRDefault="00000000" w:rsidRPr="00000000" w14:paraId="00000003">
      <w:pPr>
        <w:shd w:fill="ffffff" w:val="clear"/>
        <w:spacing w:before="240" w:line="240" w:lineRule="auto"/>
        <w:jc w:val="both"/>
        <w:rPr>
          <w:i w:val="1"/>
          <w:color w:val="0f1115"/>
          <w:highlight w:val="white"/>
        </w:rPr>
      </w:pPr>
      <w:r w:rsidDel="00000000" w:rsidR="00000000" w:rsidRPr="00000000">
        <w:rPr>
          <w:i w:val="1"/>
          <w:color w:val="0f1115"/>
          <w:highlight w:val="white"/>
          <w:rtl w:val="0"/>
        </w:rPr>
        <w:t xml:space="preserve">“Art. 5º - A participação de representantes do Poder Legislativo, do Poder Judiciário e Ministério Público na composição dos conselhos de assistência social é incompatível com o regime jurídico destes Poderes e o desempenho do controle social, nos termos da Resolução CNAS nº 100/2023.”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Essa vedação está alinhada à Resolução CNAS nº 100/2023, que define diretrizes para a estruturação e funcionamento dos Conselhos de Assistência Social em todo o território nacional.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jc w:val="both"/>
        <w:rPr>
          <w:color w:val="0f1115"/>
        </w:rPr>
      </w:pPr>
      <w:r w:rsidDel="00000000" w:rsidR="00000000" w:rsidRPr="00000000">
        <w:rPr>
          <w:color w:val="0f1115"/>
          <w:rtl w:val="0"/>
        </w:rPr>
        <w:t xml:space="preserve">Tanto a Resolução do Conselho Nacional como o Regimento Eleitoral do processo de escolha das representações para compor o CMAS-BH para a Gestão 2025-2027 reforça que os conselhos de assistência social devem ser espaços de participação da sociedade civil e do Poder Executivo, excluindo explicitamente a participação deste tipo de representação para: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24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0f1115"/>
          <w:rtl w:val="0"/>
        </w:rPr>
        <w:t xml:space="preserve">Evitar conflito de interesses;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0f1115"/>
          <w:rtl w:val="0"/>
        </w:rPr>
        <w:t xml:space="preserve">Garantir a legitimidade do controle social;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40" w:before="0" w:beforeAutospacing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0f1115"/>
          <w:rtl w:val="0"/>
        </w:rPr>
        <w:t xml:space="preserve">Respeitar a autonomia gerencial do SUAS e do CMAS-BH.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Desta forma, ressalta-se que: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Assessores(as) legislativos não exercem mandato eletivo, mas atuam como servidores(as) temporários ou comissionados, vinculados diretamente ao(à) parlamentar ou à estrutura da Câmara Municipal.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Sua função é de assessoria técnica, política ou administrativa, subordinada aos interesses e ao mandato do(a) vereador(a), ou seja, representa interesses político-partidários de um mandato específico;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240" w:before="0" w:beforeAutospacing="0" w:line="240" w:lineRule="auto"/>
        <w:ind w:left="7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Sua atuação nos conselhos pode influenciar ou vincular deliberações a agendas parlamentares, ferindo a autonomia do controle social.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jc w:val="both"/>
        <w:rPr>
          <w:b w:val="1"/>
          <w:color w:val="0f1115"/>
          <w:highlight w:val="white"/>
        </w:rPr>
      </w:pPr>
      <w:r w:rsidDel="00000000" w:rsidR="00000000" w:rsidRPr="00000000">
        <w:rPr>
          <w:b w:val="1"/>
          <w:color w:val="0f1115"/>
          <w:highlight w:val="white"/>
          <w:rtl w:val="0"/>
        </w:rPr>
        <w:t xml:space="preserve">Conclusão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A participação de assessores(as) de vereadores(as) deve ser considerada incompatível com o regime jurídico e a finalidade dos conselhos de assistência social, com base no princípio da autonomia do controle social e na necessidade de preservação da independência do colegiado.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jc w:val="both"/>
        <w:rPr>
          <w:color w:val="0f1115"/>
          <w:highlight w:val="white"/>
        </w:rPr>
      </w:pPr>
      <w:r w:rsidDel="00000000" w:rsidR="00000000" w:rsidRPr="00000000">
        <w:rPr>
          <w:color w:val="0f1115"/>
          <w:highlight w:val="white"/>
          <w:rtl w:val="0"/>
        </w:rPr>
        <w:t xml:space="preserve">Salientamos que o Regimento Eleitoral foi aprovado por unanimidade das conselheiras(os) presentes durante a 89ª Plenária Extraordinária realizada em 06 de agosto de 2025 e trata-se do instrumento normativo máximo para as eleições do CMAS-BH, com força vinculante para todos os participantes, candidatos(as), eleitores(as) e membros da Comissão Eleitoral.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tbl>
    <w:tblPr>
      <w:tblStyle w:val="Table1"/>
      <w:tblW w:w="9182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10"/>
      <w:gridCol w:w="7572"/>
      <w:tblGridChange w:id="0">
        <w:tblGrid>
          <w:gridCol w:w="1610"/>
          <w:gridCol w:w="7572"/>
        </w:tblGrid>
      </w:tblGridChange>
    </w:tblGrid>
    <w:tr>
      <w:trPr>
        <w:cantSplit w:val="0"/>
        <w:trHeight w:val="854.5678710937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1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ind w:hanging="2"/>
            <w:jc w:val="center"/>
            <w:rPr/>
          </w:pPr>
          <w:r w:rsidDel="00000000" w:rsidR="00000000" w:rsidRPr="00000000">
            <w:rPr>
              <w:b w:val="1"/>
            </w:rPr>
            <w:drawing>
              <wp:inline distB="0" distT="0" distL="114300" distR="114300">
                <wp:extent cx="885190" cy="49022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2">
          <w:pPr>
            <w:spacing w:after="200" w:line="276" w:lineRule="auto"/>
            <w:ind w:hanging="2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Conselho Municipal de Assistência Social de Belo Horizonte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